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94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919"/>
      </w:tblGrid>
      <w:tr w:rsidR="005B3D41" w:rsidRPr="004252D9" w14:paraId="14FDD3F3" w14:textId="77777777" w:rsidTr="005E6C67">
        <w:trPr>
          <w:trHeight w:val="2126"/>
        </w:trPr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</w:tblGrid>
            <w:tr w:rsidR="005B3D41" w:rsidRPr="004252D9" w14:paraId="4C09716B" w14:textId="77777777" w:rsidTr="005E6C67">
              <w:trPr>
                <w:trHeight w:val="100"/>
              </w:trPr>
              <w:tc>
                <w:tcPr>
                  <w:tcW w:w="2410" w:type="dxa"/>
                </w:tcPr>
                <w:p w14:paraId="3BFF4BBD" w14:textId="77777777" w:rsidR="005B3D41" w:rsidRPr="004252D9" w:rsidRDefault="005B3D41" w:rsidP="005E6C67">
                  <w:pPr>
                    <w:framePr w:hSpace="141" w:wrap="around" w:vAnchor="page" w:hAnchor="margin" w:y="2941"/>
                    <w:tabs>
                      <w:tab w:val="left" w:pos="8789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Times New Roman"/>
                      <w:szCs w:val="24"/>
                    </w:rPr>
                  </w:pPr>
                  <w:r w:rsidRPr="004252D9">
                    <w:rPr>
                      <w:rFonts w:ascii="Arial Narrow" w:hAnsi="Arial Narrow" w:cs="Times New Roman"/>
                      <w:b/>
                      <w:bCs/>
                      <w:szCs w:val="24"/>
                    </w:rPr>
                    <w:t>1. OBJETO</w:t>
                  </w:r>
                </w:p>
              </w:tc>
            </w:tr>
          </w:tbl>
          <w:p w14:paraId="2150F4F5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919" w:type="dxa"/>
          </w:tcPr>
          <w:tbl>
            <w:tblPr>
              <w:tblpPr w:leftFromText="141" w:rightFromText="141" w:vertAnchor="text" w:horzAnchor="margin" w:tblpX="-142" w:tblpY="-2029"/>
              <w:tblOverlap w:val="never"/>
              <w:tblW w:w="59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4"/>
            </w:tblGrid>
            <w:tr w:rsidR="005B3D41" w:rsidRPr="004252D9" w14:paraId="39E80859" w14:textId="77777777" w:rsidTr="005E6C67">
              <w:trPr>
                <w:trHeight w:val="1559"/>
              </w:trPr>
              <w:tc>
                <w:tcPr>
                  <w:tcW w:w="5954" w:type="dxa"/>
                </w:tcPr>
                <w:p w14:paraId="4D65151E" w14:textId="3FC9E04E" w:rsidR="005B3D41" w:rsidRPr="004252D9" w:rsidRDefault="00070DBC" w:rsidP="008D39E7">
                  <w:pPr>
                    <w:pStyle w:val="Default"/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070DBC">
                    <w:rPr>
                      <w:rFonts w:ascii="Arial Narrow" w:hAnsi="Arial Narrow"/>
                    </w:rPr>
                    <w:t xml:space="preserve">Contratação de empresa especializada para a execução de Obra e Serviço de Engenharia, sob o regime de empreitada por PREÇO UNITÁRIO, para </w:t>
                  </w:r>
                  <w:r w:rsidRPr="00070DBC">
                    <w:rPr>
                      <w:rFonts w:ascii="Arial Narrow" w:hAnsi="Arial Narrow"/>
                      <w:b/>
                      <w:bCs/>
                    </w:rPr>
                    <w:t>CONSTRUÇÃO DA CASA MULHER BRASILEIRA TIPO I NO MUNICÍPIO DE MANAUS/AM.</w:t>
                  </w:r>
                </w:p>
              </w:tc>
            </w:tr>
          </w:tbl>
          <w:p w14:paraId="1595201E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5B3D41" w:rsidRPr="004252D9" w14:paraId="1F2A35EA" w14:textId="77777777" w:rsidTr="005E6C67">
        <w:trPr>
          <w:trHeight w:val="3103"/>
        </w:trPr>
        <w:tc>
          <w:tcPr>
            <w:tcW w:w="3403" w:type="dxa"/>
          </w:tcPr>
          <w:tbl>
            <w:tblPr>
              <w:tblW w:w="32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2"/>
            </w:tblGrid>
            <w:tr w:rsidR="005B3D41" w:rsidRPr="004252D9" w14:paraId="16D649F5" w14:textId="77777777" w:rsidTr="005E6C67">
              <w:trPr>
                <w:trHeight w:val="119"/>
              </w:trPr>
              <w:tc>
                <w:tcPr>
                  <w:tcW w:w="3252" w:type="dxa"/>
                </w:tcPr>
                <w:p w14:paraId="68B8DBD4" w14:textId="77777777" w:rsidR="005B3D41" w:rsidRPr="004252D9" w:rsidRDefault="005B3D41" w:rsidP="005E6C67">
                  <w:pPr>
                    <w:framePr w:hSpace="141" w:wrap="around" w:vAnchor="page" w:hAnchor="margin" w:y="2941"/>
                    <w:tabs>
                      <w:tab w:val="left" w:pos="8789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Times New Roman"/>
                      <w:szCs w:val="24"/>
                    </w:rPr>
                  </w:pPr>
                  <w:r w:rsidRPr="004252D9">
                    <w:rPr>
                      <w:rFonts w:ascii="Arial Narrow" w:hAnsi="Arial Narrow" w:cs="Times New Roman"/>
                      <w:b/>
                      <w:bCs/>
                      <w:szCs w:val="24"/>
                    </w:rPr>
                    <w:t>2. DADOS CADASTRAIS</w:t>
                  </w:r>
                </w:p>
              </w:tc>
            </w:tr>
          </w:tbl>
          <w:p w14:paraId="35DFEBBC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919" w:type="dxa"/>
          </w:tcPr>
          <w:p w14:paraId="6A6359D2" w14:textId="77777777" w:rsidR="005B3D41" w:rsidRPr="004252D9" w:rsidRDefault="005B3D41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szCs w:val="24"/>
              </w:rPr>
              <w:t>Órgão solicitante:</w:t>
            </w:r>
          </w:p>
          <w:p w14:paraId="784320A7" w14:textId="5C30738A" w:rsidR="00070DBC" w:rsidRPr="00070DBC" w:rsidRDefault="00070DBC" w:rsidP="00070DBC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szCs w:val="24"/>
              </w:rPr>
            </w:pPr>
            <w:r w:rsidRPr="00070DBC">
              <w:rPr>
                <w:rFonts w:ascii="Arial Narrow" w:hAnsi="Arial Narrow" w:cs="Times New Roman"/>
                <w:b/>
                <w:szCs w:val="24"/>
              </w:rPr>
              <w:t>SECRETARIA DE ESTADO DE JUSTICA, DIREITOS HUMANOS E CIDADANIA</w:t>
            </w:r>
          </w:p>
          <w:p w14:paraId="42489DF4" w14:textId="77777777" w:rsidR="00070DBC" w:rsidRPr="00070DBC" w:rsidRDefault="00070DBC" w:rsidP="00070DBC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Cs/>
                <w:szCs w:val="24"/>
              </w:rPr>
            </w:pPr>
            <w:r w:rsidRPr="00070DBC">
              <w:rPr>
                <w:rFonts w:ascii="Arial Narrow" w:hAnsi="Arial Narrow" w:cs="Times New Roman"/>
                <w:bCs/>
                <w:szCs w:val="24"/>
              </w:rPr>
              <w:t>C.N.P.J. Nº 04.312.401/0001-38</w:t>
            </w:r>
          </w:p>
          <w:p w14:paraId="76E07A12" w14:textId="77777777" w:rsidR="00070DBC" w:rsidRPr="00070DBC" w:rsidRDefault="00070DBC" w:rsidP="00070DBC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Cs/>
                <w:szCs w:val="24"/>
              </w:rPr>
            </w:pPr>
            <w:r w:rsidRPr="00070DBC">
              <w:rPr>
                <w:rFonts w:ascii="Arial Narrow" w:hAnsi="Arial Narrow" w:cs="Times New Roman"/>
                <w:bCs/>
                <w:szCs w:val="24"/>
              </w:rPr>
              <w:t xml:space="preserve">Endereço: Rua Bento Maciel, 2, Conj. </w:t>
            </w:r>
            <w:proofErr w:type="spellStart"/>
            <w:r w:rsidRPr="00070DBC">
              <w:rPr>
                <w:rFonts w:ascii="Arial Narrow" w:hAnsi="Arial Narrow" w:cs="Times New Roman"/>
                <w:bCs/>
                <w:szCs w:val="24"/>
              </w:rPr>
              <w:t>Celetramazon</w:t>
            </w:r>
            <w:proofErr w:type="spellEnd"/>
            <w:r w:rsidRPr="00070DBC">
              <w:rPr>
                <w:rFonts w:ascii="Arial Narrow" w:hAnsi="Arial Narrow" w:cs="Times New Roman"/>
                <w:bCs/>
                <w:szCs w:val="24"/>
              </w:rPr>
              <w:t xml:space="preserve"> - Adrianópolis, Manaus - AM, 69057-300</w:t>
            </w:r>
          </w:p>
          <w:p w14:paraId="58D62AE0" w14:textId="335C383E" w:rsidR="005B3D41" w:rsidRDefault="00070DBC" w:rsidP="00070DBC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szCs w:val="24"/>
              </w:rPr>
            </w:pPr>
            <w:r w:rsidRPr="00126F01">
              <w:rPr>
                <w:rFonts w:ascii="Arial Narrow" w:hAnsi="Arial Narrow" w:cs="Times New Roman"/>
                <w:bCs/>
                <w:szCs w:val="24"/>
              </w:rPr>
              <w:t>E-mail:</w:t>
            </w:r>
            <w:r w:rsidRPr="00070DBC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hyperlink r:id="rId7" w:history="1">
              <w:r w:rsidR="00126F01" w:rsidRPr="00ED459C">
                <w:rPr>
                  <w:rStyle w:val="Hyperlink"/>
                  <w:rFonts w:ascii="Arial Narrow" w:hAnsi="Arial Narrow" w:cs="Times New Roman"/>
                  <w:b/>
                  <w:szCs w:val="24"/>
                </w:rPr>
                <w:t>gabsec@sejusc.am.gov.br</w:t>
              </w:r>
            </w:hyperlink>
          </w:p>
          <w:p w14:paraId="0FBB4A9E" w14:textId="1CB7FBFA" w:rsidR="00126F01" w:rsidRPr="004252D9" w:rsidRDefault="00126F01" w:rsidP="00070DBC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5B3D41" w:rsidRPr="004252D9" w14:paraId="7D0EA748" w14:textId="77777777" w:rsidTr="005E6C67">
        <w:trPr>
          <w:trHeight w:val="1745"/>
        </w:trPr>
        <w:tc>
          <w:tcPr>
            <w:tcW w:w="3403" w:type="dxa"/>
          </w:tcPr>
          <w:p w14:paraId="3163136C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b/>
                <w:bCs/>
                <w:szCs w:val="24"/>
              </w:rPr>
              <w:t>3. NOME DO RESPONSÁVEL</w:t>
            </w:r>
          </w:p>
        </w:tc>
        <w:tc>
          <w:tcPr>
            <w:tcW w:w="5919" w:type="dxa"/>
          </w:tcPr>
          <w:p w14:paraId="3EE3AD44" w14:textId="77777777" w:rsidR="005B3D41" w:rsidRDefault="00696A06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Cs w:val="24"/>
              </w:rPr>
              <w:t>JUSSARA PEDROSA CELESTINO DA COSTA</w:t>
            </w:r>
          </w:p>
          <w:p w14:paraId="570C1711" w14:textId="77777777" w:rsidR="00696A06" w:rsidRDefault="00696A06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Cs w:val="24"/>
              </w:rPr>
              <w:t>Cargo: Secretária de Estado</w:t>
            </w:r>
          </w:p>
          <w:p w14:paraId="4BB10980" w14:textId="77777777" w:rsidR="00696A06" w:rsidRDefault="00696A06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Cs w:val="24"/>
              </w:rPr>
              <w:t>RG: 1993209-0 SSP/AM</w:t>
            </w:r>
          </w:p>
          <w:p w14:paraId="7D63E9D6" w14:textId="670CA487" w:rsidR="00696A06" w:rsidRPr="00696A06" w:rsidRDefault="00696A06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Cs w:val="24"/>
              </w:rPr>
              <w:t>CPF: 878.573.672-49</w:t>
            </w:r>
          </w:p>
        </w:tc>
      </w:tr>
      <w:tr w:rsidR="005B3D41" w:rsidRPr="004252D9" w14:paraId="37C23E72" w14:textId="77777777" w:rsidTr="005E6C67">
        <w:trPr>
          <w:trHeight w:val="274"/>
        </w:trPr>
        <w:tc>
          <w:tcPr>
            <w:tcW w:w="3403" w:type="dxa"/>
          </w:tcPr>
          <w:p w14:paraId="36346EC4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4252D9">
              <w:rPr>
                <w:rFonts w:ascii="Arial Narrow" w:hAnsi="Arial Narrow" w:cs="Times New Roman"/>
                <w:b/>
                <w:bCs/>
                <w:szCs w:val="24"/>
              </w:rPr>
              <w:t>4. DESCRIÇÃO DO OBJETO</w:t>
            </w:r>
          </w:p>
        </w:tc>
        <w:tc>
          <w:tcPr>
            <w:tcW w:w="5919" w:type="dxa"/>
          </w:tcPr>
          <w:p w14:paraId="7BAA23DC" w14:textId="21295A7D" w:rsidR="005B3D41" w:rsidRDefault="004F7EB8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F7EB8">
              <w:rPr>
                <w:rFonts w:ascii="Arial Narrow" w:hAnsi="Arial Narrow" w:cs="Times New Roman"/>
                <w:szCs w:val="24"/>
              </w:rPr>
              <w:t xml:space="preserve">Trata-se da 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>CONTRATAÇÃO DE EMPRESA PARA CONSTRUÇÃO DA CASA DA MULHER BRASILEIRA TIPO I NO MUNICÍPIO DE MANAUS/AM</w:t>
            </w:r>
            <w:r>
              <w:rPr>
                <w:rFonts w:ascii="Arial Narrow" w:hAnsi="Arial Narrow" w:cs="Times New Roman"/>
                <w:b/>
                <w:bCs/>
                <w:szCs w:val="24"/>
              </w:rPr>
              <w:t>,</w:t>
            </w:r>
            <w:r w:rsidRPr="004F7EB8">
              <w:rPr>
                <w:rFonts w:ascii="Arial Narrow" w:hAnsi="Arial Narrow" w:cs="Times New Roman"/>
                <w:szCs w:val="24"/>
              </w:rPr>
              <w:t xml:space="preserve"> por um período de 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365 (trezentos e sessenta e cinco) dias, </w:t>
            </w:r>
            <w:r w:rsidRPr="004F7EB8">
              <w:rPr>
                <w:rFonts w:ascii="Arial Narrow" w:hAnsi="Arial Narrow" w:cs="Times New Roman"/>
                <w:szCs w:val="24"/>
              </w:rPr>
              <w:t xml:space="preserve">compreendendo os serviços de: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a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dministração,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c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anteiro de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o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bras,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s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erviços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p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reliminares,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m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ovimento de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t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erras,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i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nfraestrutura,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s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uperestrutura,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c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obertura,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p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ainéis,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i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mpermeabilização,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r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evestimento de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p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arede,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e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squadrias,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p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iso 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r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evestimentos,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f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orros 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d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ivisórias,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p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intura,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i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nstalações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e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létricas,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s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ubestação,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c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asa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d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b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ombas,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a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r condicionado -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v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entilação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m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ecânica,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c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ombate de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i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ncêndio,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i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nstalações hidrossanitários -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á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gua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f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ria,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lastRenderedPageBreak/>
              <w:t>e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sgoto,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á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guas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p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luviais,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a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parelhos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s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anitários -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l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ouças 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m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>etais</w:t>
            </w:r>
            <w:r w:rsidRPr="004F7EB8">
              <w:rPr>
                <w:rFonts w:ascii="Arial Narrow" w:hAnsi="Arial Narrow" w:cs="Times New Roman"/>
                <w:szCs w:val="24"/>
              </w:rPr>
              <w:t xml:space="preserve">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c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abeamento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e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struturado,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c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omunicação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v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isual e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u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rbanização,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l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 xml:space="preserve">impeza </w:t>
            </w:r>
            <w:r w:rsidR="0078319A">
              <w:rPr>
                <w:rFonts w:ascii="Arial Narrow" w:hAnsi="Arial Narrow" w:cs="Times New Roman"/>
                <w:b/>
                <w:bCs/>
                <w:szCs w:val="24"/>
              </w:rPr>
              <w:t>g</w:t>
            </w:r>
            <w:r w:rsidRPr="004F7EB8">
              <w:rPr>
                <w:rFonts w:ascii="Arial Narrow" w:hAnsi="Arial Narrow" w:cs="Times New Roman"/>
                <w:b/>
                <w:bCs/>
                <w:szCs w:val="24"/>
              </w:rPr>
              <w:t>eral,</w:t>
            </w:r>
            <w:r w:rsidRPr="004F7EB8">
              <w:rPr>
                <w:rFonts w:ascii="Arial Narrow" w:hAnsi="Arial Narrow" w:cs="Times New Roman"/>
                <w:szCs w:val="24"/>
              </w:rPr>
              <w:t xml:space="preserve"> devendo ser executados em rigorosa observância </w:t>
            </w:r>
            <w:r>
              <w:rPr>
                <w:rFonts w:ascii="Arial Narrow" w:hAnsi="Arial Narrow" w:cs="Times New Roman"/>
                <w:szCs w:val="24"/>
              </w:rPr>
              <w:t>a</w:t>
            </w:r>
            <w:r w:rsidRPr="004F7EB8">
              <w:rPr>
                <w:rFonts w:ascii="Arial Narrow" w:hAnsi="Arial Narrow" w:cs="Times New Roman"/>
                <w:szCs w:val="24"/>
              </w:rPr>
              <w:t>s prescrições e exigências deste Projeto Básico, bem como projetos e memoriais técnicos  de modo geral, as Especificações e as Normas Técnicas  vigentes da ABNT e aquelas complementares e particulares, dos respectivos projetos e outras pertinentes aos serviços em licitação, bem como as instruções e normas da SEINFRA e outros órgãos competentes.</w:t>
            </w:r>
          </w:p>
          <w:p w14:paraId="131C179B" w14:textId="18BB4943" w:rsidR="004F7EB8" w:rsidRPr="004E0C17" w:rsidRDefault="004F7EB8" w:rsidP="005E6C67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5B3D41" w:rsidRPr="004252D9" w14:paraId="1C2CDE90" w14:textId="77777777" w:rsidTr="005E6C67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9"/>
            </w:tblGrid>
            <w:tr w:rsidR="005B3D41" w:rsidRPr="004252D9" w14:paraId="561E02C7" w14:textId="77777777" w:rsidTr="005E6C67">
              <w:trPr>
                <w:trHeight w:val="110"/>
              </w:trPr>
              <w:tc>
                <w:tcPr>
                  <w:tcW w:w="3149" w:type="dxa"/>
                </w:tcPr>
                <w:p w14:paraId="31E26A8A" w14:textId="77777777" w:rsidR="005B3D41" w:rsidRPr="004252D9" w:rsidRDefault="005B3D41" w:rsidP="005E6C67">
                  <w:pPr>
                    <w:framePr w:hSpace="141" w:wrap="around" w:vAnchor="page" w:hAnchor="margin" w:y="2941"/>
                    <w:tabs>
                      <w:tab w:val="left" w:pos="8789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-108"/>
                    <w:jc w:val="both"/>
                    <w:rPr>
                      <w:rFonts w:ascii="Arial Narrow" w:hAnsi="Arial Narrow" w:cs="Times New Roman"/>
                      <w:szCs w:val="24"/>
                    </w:rPr>
                  </w:pPr>
                  <w:r w:rsidRPr="004252D9">
                    <w:rPr>
                      <w:rFonts w:ascii="Arial Narrow" w:hAnsi="Arial Narrow" w:cs="Times New Roman"/>
                      <w:b/>
                      <w:bCs/>
                      <w:szCs w:val="24"/>
                    </w:rPr>
                    <w:lastRenderedPageBreak/>
                    <w:t>5. JUSTIFICATIVA</w:t>
                  </w:r>
                </w:p>
              </w:tc>
            </w:tr>
          </w:tbl>
          <w:p w14:paraId="585D738B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919" w:type="dxa"/>
          </w:tcPr>
          <w:p w14:paraId="40BA9C78" w14:textId="77777777" w:rsidR="005B3D41" w:rsidRDefault="00D849E6" w:rsidP="005E6C6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D849E6">
              <w:rPr>
                <w:rFonts w:ascii="Arial Narrow" w:hAnsi="Arial Narrow"/>
                <w:color w:val="auto"/>
              </w:rPr>
              <w:t xml:space="preserve">O presente projeto tem como objetivo a </w:t>
            </w:r>
            <w:r w:rsidRPr="00D849E6">
              <w:rPr>
                <w:rFonts w:ascii="Arial Narrow" w:hAnsi="Arial Narrow"/>
                <w:b/>
                <w:bCs/>
                <w:color w:val="auto"/>
              </w:rPr>
              <w:t>CONSTRUÇÃO DA CASA MULHER BRASILEIRA TIPO I NO MUNICÍPIO DE MANAUS/AM,</w:t>
            </w:r>
            <w:r w:rsidRPr="00D849E6">
              <w:rPr>
                <w:rFonts w:ascii="Arial Narrow" w:hAnsi="Arial Narrow"/>
                <w:color w:val="auto"/>
              </w:rPr>
              <w:t xml:space="preserve"> visando fortalecer a rede de proteção das mulheres em situação de violência, garantir a articulação dos serviços e o atendimento humanizado e integral às mulheres, contribuir na implementação e elaboração de políticas públicas de proteção à mulher em situação de vulnerabilidade social, reduzir os índices de violência contra as mulheres amazonenses e promover a dignidade e melhoria da autoestima das mulheres vítimas de violência.</w:t>
            </w:r>
          </w:p>
          <w:p w14:paraId="242AE200" w14:textId="18C5E8BE" w:rsidR="00D849E6" w:rsidRPr="00786CB2" w:rsidRDefault="00D849E6" w:rsidP="005E6C6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B3D41" w:rsidRPr="004252D9" w14:paraId="26938578" w14:textId="77777777" w:rsidTr="005E6C67">
        <w:tc>
          <w:tcPr>
            <w:tcW w:w="3403" w:type="dxa"/>
          </w:tcPr>
          <w:p w14:paraId="0062F583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bCs/>
                <w:color w:val="auto"/>
              </w:rPr>
              <w:t>6. CONDIÇÕES DE EXECUÇÃO E PRAZOS CONTRATUAIS</w:t>
            </w:r>
          </w:p>
        </w:tc>
        <w:tc>
          <w:tcPr>
            <w:tcW w:w="5919" w:type="dxa"/>
          </w:tcPr>
          <w:p w14:paraId="6F7142BB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/>
                <w:color w:val="auto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Regime de execução</w:t>
            </w:r>
            <w:r w:rsidRPr="004252D9">
              <w:rPr>
                <w:rFonts w:ascii="Arial Narrow" w:hAnsi="Arial Narrow"/>
                <w:color w:val="auto"/>
              </w:rPr>
              <w:t>: Empreitada por Preço Unitário</w:t>
            </w:r>
            <w:r w:rsidRPr="004252D9">
              <w:rPr>
                <w:rFonts w:ascii="Arial Narrow" w:hAnsi="Arial Narrow"/>
                <w:b/>
                <w:color w:val="auto"/>
              </w:rPr>
              <w:t>.</w:t>
            </w:r>
          </w:p>
          <w:p w14:paraId="6719FD37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b/>
                <w:szCs w:val="24"/>
                <w:u w:val="single"/>
              </w:rPr>
              <w:t>Participação de Consórcio:</w:t>
            </w:r>
            <w:r w:rsidRPr="004252D9">
              <w:rPr>
                <w:rFonts w:ascii="Arial Narrow" w:hAnsi="Arial Narrow" w:cs="Times New Roman"/>
                <w:szCs w:val="24"/>
              </w:rPr>
              <w:t xml:space="preserve"> Não poderão participar da licitação, direta ou indiretamente, empresas que se apresentem sob a forma de CONSÓRCIO, qualquer que seja sua constituição, conforme justificativa anexa.</w:t>
            </w:r>
          </w:p>
          <w:p w14:paraId="6B1403D0" w14:textId="3C4B2726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/>
                <w:color w:val="auto"/>
                <w:u w:val="single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Vigência do contrato</w:t>
            </w:r>
            <w:r w:rsidRPr="004252D9">
              <w:rPr>
                <w:rFonts w:ascii="Arial Narrow" w:hAnsi="Arial Narrow"/>
                <w:color w:val="auto"/>
              </w:rPr>
              <w:t xml:space="preserve">: </w:t>
            </w:r>
            <w:r w:rsidR="00305B79">
              <w:rPr>
                <w:rFonts w:ascii="Arial Narrow" w:hAnsi="Arial Narrow"/>
                <w:b/>
                <w:color w:val="auto"/>
              </w:rPr>
              <w:t>48</w:t>
            </w:r>
            <w:r w:rsidR="00FE231C">
              <w:rPr>
                <w:rFonts w:ascii="Arial Narrow" w:hAnsi="Arial Narrow"/>
                <w:b/>
                <w:color w:val="auto"/>
              </w:rPr>
              <w:t>5</w:t>
            </w:r>
            <w:r w:rsidRPr="004252D9">
              <w:rPr>
                <w:rFonts w:ascii="Arial Narrow" w:hAnsi="Arial Narrow"/>
                <w:b/>
                <w:color w:val="auto"/>
              </w:rPr>
              <w:t xml:space="preserve"> (</w:t>
            </w:r>
            <w:r w:rsidR="00305B79">
              <w:rPr>
                <w:rFonts w:ascii="Arial Narrow" w:hAnsi="Arial Narrow"/>
                <w:b/>
                <w:color w:val="auto"/>
              </w:rPr>
              <w:t>quatrocentos</w:t>
            </w:r>
            <w:r w:rsidR="00FE231C">
              <w:rPr>
                <w:rFonts w:ascii="Arial Narrow" w:hAnsi="Arial Narrow"/>
                <w:b/>
                <w:color w:val="auto"/>
              </w:rPr>
              <w:t xml:space="preserve"> e </w:t>
            </w:r>
            <w:r w:rsidR="00305B79">
              <w:rPr>
                <w:rFonts w:ascii="Arial Narrow" w:hAnsi="Arial Narrow"/>
                <w:b/>
                <w:color w:val="auto"/>
              </w:rPr>
              <w:t>oit</w:t>
            </w:r>
            <w:r w:rsidR="00FE231C">
              <w:rPr>
                <w:rFonts w:ascii="Arial Narrow" w:hAnsi="Arial Narrow"/>
                <w:b/>
                <w:color w:val="auto"/>
              </w:rPr>
              <w:t>enta e cinto</w:t>
            </w:r>
            <w:r w:rsidRPr="004252D9">
              <w:rPr>
                <w:rFonts w:ascii="Arial Narrow" w:hAnsi="Arial Narrow"/>
                <w:b/>
                <w:color w:val="auto"/>
              </w:rPr>
              <w:t xml:space="preserve">) </w:t>
            </w:r>
            <w:r w:rsidRPr="004252D9">
              <w:rPr>
                <w:rFonts w:ascii="Arial Narrow" w:hAnsi="Arial Narrow"/>
                <w:color w:val="auto"/>
              </w:rPr>
              <w:t>dias corridos, a contar da data de sua assinatura.</w:t>
            </w:r>
          </w:p>
          <w:p w14:paraId="79E344C9" w14:textId="2995125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lastRenderedPageBreak/>
              <w:t>Prazo de execução dos serviços</w:t>
            </w:r>
            <w:r w:rsidRPr="004252D9">
              <w:rPr>
                <w:rFonts w:ascii="Arial Narrow" w:hAnsi="Arial Narrow"/>
                <w:color w:val="auto"/>
              </w:rPr>
              <w:t xml:space="preserve">: </w:t>
            </w:r>
            <w:r w:rsidR="00221F6F">
              <w:rPr>
                <w:rFonts w:ascii="Arial Narrow" w:hAnsi="Arial Narrow"/>
                <w:b/>
                <w:color w:val="auto"/>
              </w:rPr>
              <w:t>365</w:t>
            </w:r>
            <w:r>
              <w:rPr>
                <w:rFonts w:ascii="Arial Narrow" w:hAnsi="Arial Narrow"/>
                <w:b/>
                <w:color w:val="auto"/>
              </w:rPr>
              <w:t xml:space="preserve"> (</w:t>
            </w:r>
            <w:r w:rsidR="00221F6F">
              <w:rPr>
                <w:rFonts w:ascii="Arial Narrow" w:hAnsi="Arial Narrow"/>
                <w:b/>
                <w:color w:val="auto"/>
              </w:rPr>
              <w:t>Trezentos e sessenta e cinco</w:t>
            </w:r>
            <w:r w:rsidRPr="004252D9">
              <w:rPr>
                <w:rFonts w:ascii="Arial Narrow" w:hAnsi="Arial Narrow"/>
                <w:b/>
                <w:color w:val="auto"/>
              </w:rPr>
              <w:t xml:space="preserve">) </w:t>
            </w:r>
            <w:r w:rsidRPr="004252D9">
              <w:rPr>
                <w:rFonts w:ascii="Arial Narrow" w:hAnsi="Arial Narrow"/>
                <w:color w:val="auto"/>
              </w:rPr>
              <w:t>dias corridos, contados a partir da data da expedição da Ordem de Serviço.</w:t>
            </w:r>
          </w:p>
          <w:p w14:paraId="1ED2C789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b/>
                <w:szCs w:val="24"/>
                <w:u w:val="single"/>
              </w:rPr>
              <w:t>Prazo de início dos serviços</w:t>
            </w:r>
            <w:r w:rsidRPr="004252D9">
              <w:rPr>
                <w:rFonts w:ascii="Arial Narrow" w:hAnsi="Arial Narrow" w:cs="Times New Roman"/>
                <w:szCs w:val="24"/>
              </w:rPr>
              <w:t xml:space="preserve">:  O prazo máximo para o início dos serviços fica fixado em </w:t>
            </w:r>
            <w:r w:rsidRPr="004252D9">
              <w:rPr>
                <w:rFonts w:ascii="Arial Narrow" w:hAnsi="Arial Narrow" w:cs="Times New Roman"/>
                <w:b/>
                <w:szCs w:val="24"/>
              </w:rPr>
              <w:t>15 (quinze) dias úteis</w:t>
            </w:r>
            <w:r w:rsidRPr="004252D9">
              <w:rPr>
                <w:rFonts w:ascii="Arial Narrow" w:hAnsi="Arial Narrow" w:cs="Times New Roman"/>
                <w:szCs w:val="24"/>
              </w:rPr>
              <w:t>, contado a partir da data de expedição da Ordem de Serviço pela Contratante que, por sua vez, está condicionada à assinatura do Contrato.</w:t>
            </w:r>
          </w:p>
          <w:p w14:paraId="173D97A2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Sanções</w:t>
            </w:r>
            <w:r w:rsidRPr="004252D9">
              <w:rPr>
                <w:rFonts w:ascii="Arial Narrow" w:hAnsi="Arial Narrow"/>
                <w:b/>
                <w:color w:val="auto"/>
              </w:rPr>
              <w:t>:</w:t>
            </w:r>
            <w:r w:rsidRPr="004252D9">
              <w:rPr>
                <w:rFonts w:ascii="Arial Narrow" w:hAnsi="Arial Narrow"/>
                <w:color w:val="auto"/>
              </w:rPr>
              <w:t xml:space="preserve"> Pela inexecução total ou parcial do compromisso assumido, o órgão contratante poderá aplicar à CONTRATADA, garantida a prévia defesa, as seguintes sanções:</w:t>
            </w:r>
          </w:p>
          <w:p w14:paraId="30EED28E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1. Advertência.</w:t>
            </w:r>
          </w:p>
          <w:p w14:paraId="55106DF9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2. Multa de:</w:t>
            </w:r>
          </w:p>
          <w:p w14:paraId="7257C1DF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a) 0,01 (um centésimo por cento) por dia sobre o valor adjudicado em caso de atraso na execução dos serviços, conforme Cronograma Físico-Financeiro, limitada a incidência a 15 (quinze) dias. Após o décimo quinto dia e a critério da Administração, no caso de execução com atraso, poderá ocorrer a não aceitação do objeto, de forma a configurar, nessa hipótese, inexecução total da obrigação assumida, sem prejuízo da rescisão unilateral da avença;</w:t>
            </w:r>
          </w:p>
          <w:p w14:paraId="2BB56EBD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b) 5% (cinco por cento) sobre o valor adjudicado, em caso de atraso na execução do objeto, por período superior ao previsto no subitem acima, ou de inexecução parcial da obrigação assumida;</w:t>
            </w:r>
          </w:p>
          <w:p w14:paraId="6A6623B2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c) 10% (dez por cento) sobre o valor adjudicado, em caso de inexecução total da obrigação assumida:</w:t>
            </w:r>
          </w:p>
          <w:p w14:paraId="6B74581A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d) 0,01% (um centésimo por cento) do valor do Contrato por dia de atraso na apresentação da garantia (seja para reforço ou por ocasião de prorrogação), a contar do prazo estipulado pela Administração para a entrega do documento, até o limite de 5 </w:t>
            </w:r>
            <w:r w:rsidRPr="004252D9">
              <w:rPr>
                <w:rFonts w:ascii="Arial Narrow" w:hAnsi="Arial Narrow"/>
                <w:color w:val="auto"/>
              </w:rPr>
              <w:lastRenderedPageBreak/>
              <w:t>(cinco) dias, sob pena de configurar, nessa hipótese, inexecução parcial da obrigação assumida, sem prejuízo da rescisão unilateral da avença;</w:t>
            </w:r>
          </w:p>
          <w:p w14:paraId="6964C19F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4252D9">
              <w:rPr>
                <w:rFonts w:ascii="Arial Narrow" w:hAnsi="Arial Narrow"/>
                <w:color w:val="000000" w:themeColor="text1"/>
              </w:rPr>
              <w:t xml:space="preserve">e) 10% (dez por cento) sobre o valor do Contrato, em caso de recusa injustificada da prestadora do serviço em assinar o Contrato. </w:t>
            </w:r>
          </w:p>
          <w:p w14:paraId="5964EB6B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4252D9">
              <w:rPr>
                <w:rFonts w:ascii="Arial Narrow" w:hAnsi="Arial Narrow"/>
                <w:color w:val="000000" w:themeColor="text1"/>
              </w:rPr>
              <w:t>3. Suspensão temporária de participação em licitação e impedimento de contratar com a Administração, por prazo não superior a 2 (dois) anos</w:t>
            </w:r>
            <w:r w:rsidRPr="004252D9">
              <w:rPr>
                <w:rFonts w:ascii="Arial Narrow" w:hAnsi="Arial Narrow"/>
                <w:color w:val="FF0000"/>
              </w:rPr>
              <w:t>.</w:t>
            </w:r>
          </w:p>
          <w:p w14:paraId="0FA84EFA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4252D9">
              <w:rPr>
                <w:rFonts w:ascii="Arial Narrow" w:hAnsi="Arial Narrow"/>
                <w:color w:val="000000" w:themeColor="text1"/>
              </w:rPr>
              <w:t xml:space="preserve">4. Declaração de Inidoneidade para licitar ou contratar com a Administração Pública enquanto perdurarem os motivos determinantes da punição ou até que seja promovida a reabilitação perante a própria autoridade que aplicou a penalidade, </w:t>
            </w:r>
            <w:r w:rsidRPr="004252D9">
              <w:rPr>
                <w:rFonts w:ascii="Arial Narrow" w:hAnsi="Arial Narrow"/>
                <w:color w:val="auto"/>
              </w:rPr>
              <w:t>que será concedida sempre que o contratado ressarcir a Administração pelos prejuízos resultantes e após decorrido o prazo da sanção aplicada com base no item 3.</w:t>
            </w:r>
          </w:p>
          <w:p w14:paraId="46EA7DE6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4252D9">
              <w:rPr>
                <w:rFonts w:ascii="Arial Narrow" w:hAnsi="Arial Narrow"/>
                <w:color w:val="000000" w:themeColor="text1"/>
              </w:rPr>
              <w:t>5. Em caso de infração às normas ambientais, a CONTRATADA fica sujeita às sanções pertinentes, aplicáveis pelos órgãos competentes, constituindo, outrossim, motivo para suspensão do direito de licitar e impedimento para contratar com o Poder Público, por prazo de até 02 (dois) anos.</w:t>
            </w:r>
          </w:p>
          <w:p w14:paraId="2CECB96C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Garantia da Proposta</w:t>
            </w:r>
            <w:r w:rsidRPr="004252D9">
              <w:rPr>
                <w:rFonts w:ascii="Arial Narrow" w:hAnsi="Arial Narrow"/>
                <w:b/>
                <w:color w:val="auto"/>
              </w:rPr>
              <w:t>:</w:t>
            </w:r>
            <w:r w:rsidRPr="004252D9">
              <w:rPr>
                <w:rFonts w:ascii="Arial Narrow" w:hAnsi="Arial Narrow"/>
                <w:color w:val="auto"/>
              </w:rPr>
              <w:t xml:space="preserve"> A licitante deverá apresentar Garantia de Manutenção de Proposta de 1% (um por cento) do valor estimado do objeto da contratação, devendo possuir prazo de validade de pelo menos 90 (noventa) dias corridos, contados da data de entrega das propostas.</w:t>
            </w:r>
          </w:p>
          <w:p w14:paraId="1092280C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b/>
                <w:szCs w:val="24"/>
                <w:u w:val="single"/>
              </w:rPr>
              <w:t>Garantia Contratual</w:t>
            </w:r>
            <w:r w:rsidRPr="004252D9">
              <w:rPr>
                <w:rFonts w:ascii="Arial Narrow" w:hAnsi="Arial Narrow" w:cs="Times New Roman"/>
                <w:b/>
                <w:szCs w:val="24"/>
              </w:rPr>
              <w:t xml:space="preserve">: </w:t>
            </w:r>
            <w:r w:rsidRPr="004252D9">
              <w:rPr>
                <w:rFonts w:ascii="Arial Narrow" w:hAnsi="Arial Narrow" w:cs="Times New Roman"/>
                <w:szCs w:val="24"/>
              </w:rPr>
              <w:t xml:space="preserve">Para fins de garantia de suas obrigações contratuais, a licitante vencedora deverá, como condição para a assinatura do Contrato, complementar a Garantia de Manutenção </w:t>
            </w:r>
            <w:r w:rsidRPr="004252D9">
              <w:rPr>
                <w:rFonts w:ascii="Arial Narrow" w:hAnsi="Arial Narrow" w:cs="Times New Roman"/>
                <w:szCs w:val="24"/>
              </w:rPr>
              <w:lastRenderedPageBreak/>
              <w:t xml:space="preserve">de Proposta, para atingir valor correspondente a </w:t>
            </w:r>
            <w:r w:rsidRPr="004252D9">
              <w:rPr>
                <w:rFonts w:ascii="Arial Narrow" w:hAnsi="Arial Narrow" w:cs="Times New Roman"/>
                <w:b/>
                <w:szCs w:val="24"/>
              </w:rPr>
              <w:t>10% (dez por cento)</w:t>
            </w:r>
            <w:r w:rsidRPr="004252D9">
              <w:rPr>
                <w:rFonts w:ascii="Arial Narrow" w:hAnsi="Arial Narrow" w:cs="Times New Roman"/>
                <w:szCs w:val="24"/>
              </w:rPr>
              <w:t xml:space="preserve"> do valor global do Contrato, devendo esta garantia vigorar até a aceitação definitiva da obra.</w:t>
            </w:r>
          </w:p>
          <w:p w14:paraId="52171698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szCs w:val="24"/>
              </w:rPr>
              <w:t>A garantia contratual e da proposta poderá ser apresentada em uma das seguintes modalidades:</w:t>
            </w:r>
          </w:p>
          <w:p w14:paraId="5ACAB4EF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a) Caução em dinheiro;</w:t>
            </w:r>
          </w:p>
          <w:p w14:paraId="2D8C2E5C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b) Fiança bancária completa para validação;</w:t>
            </w:r>
          </w:p>
          <w:p w14:paraId="75DB4AB9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c) Seguro-Garantia completo para validação.</w:t>
            </w:r>
          </w:p>
          <w:p w14:paraId="78CE8A19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Ocorrendo aumento no valor contratual decorrente de acréscimo de serviços, a CONTRATADA, por ocasião da assinatura do Termo Aditivo, deverá proceder ao reforço da garantia inicial, no mesmo percentual de </w:t>
            </w:r>
            <w:r w:rsidRPr="004252D9">
              <w:rPr>
                <w:rFonts w:ascii="Arial Narrow" w:hAnsi="Arial Narrow"/>
                <w:b/>
                <w:color w:val="auto"/>
              </w:rPr>
              <w:t>10% (dez por cento)</w:t>
            </w:r>
            <w:r w:rsidRPr="004252D9">
              <w:rPr>
                <w:rFonts w:ascii="Arial Narrow" w:hAnsi="Arial Narrow"/>
                <w:color w:val="auto"/>
              </w:rPr>
              <w:t xml:space="preserve"> do valor aditado.</w:t>
            </w:r>
          </w:p>
          <w:p w14:paraId="2694DAB1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Reajustamento</w:t>
            </w:r>
            <w:r w:rsidRPr="004252D9">
              <w:rPr>
                <w:rFonts w:ascii="Arial Narrow" w:hAnsi="Arial Narrow"/>
                <w:color w:val="auto"/>
              </w:rPr>
              <w:t xml:space="preserve">: O reajustamento de preços, se houver, será baseado no INCC e incidirá sobre o saldo contratual, </w:t>
            </w:r>
            <w:r w:rsidRPr="004252D9">
              <w:rPr>
                <w:rFonts w:ascii="Arial Narrow" w:hAnsi="Arial Narrow"/>
                <w:color w:val="auto"/>
                <w:u w:val="single"/>
              </w:rPr>
              <w:t>após 12 (doze) meses contados da data do orçamento da Administração</w:t>
            </w:r>
            <w:r w:rsidRPr="004252D9">
              <w:rPr>
                <w:rFonts w:ascii="Arial Narrow" w:hAnsi="Arial Narrow"/>
                <w:color w:val="auto"/>
              </w:rPr>
              <w:t>,</w:t>
            </w:r>
            <w:r w:rsidRPr="004252D9">
              <w:rPr>
                <w:rFonts w:ascii="Arial Narrow" w:hAnsi="Arial Narrow"/>
              </w:rPr>
              <w:t xml:space="preserve"> </w:t>
            </w:r>
            <w:r w:rsidRPr="004252D9">
              <w:rPr>
                <w:rFonts w:ascii="Arial Narrow" w:hAnsi="Arial Narrow"/>
                <w:color w:val="auto"/>
              </w:rPr>
              <w:t xml:space="preserve">devendo o seu cálculo observar a aplicação da seguinte fórmula: </w:t>
            </w:r>
          </w:p>
          <w:p w14:paraId="37968AA6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R = </w:t>
            </w:r>
            <w:r w:rsidRPr="004252D9">
              <w:rPr>
                <w:rFonts w:ascii="Arial Narrow" w:hAnsi="Arial Narrow"/>
                <w:color w:val="auto"/>
                <w:u w:val="single"/>
              </w:rPr>
              <w:t xml:space="preserve">(l- </w:t>
            </w:r>
            <w:proofErr w:type="spellStart"/>
            <w:r w:rsidRPr="004252D9">
              <w:rPr>
                <w:rFonts w:ascii="Arial Narrow" w:hAnsi="Arial Narrow"/>
                <w:color w:val="auto"/>
                <w:u w:val="single"/>
              </w:rPr>
              <w:t>lo</w:t>
            </w:r>
            <w:proofErr w:type="spellEnd"/>
            <w:r w:rsidRPr="004252D9">
              <w:rPr>
                <w:rFonts w:ascii="Arial Narrow" w:hAnsi="Arial Narrow"/>
                <w:color w:val="auto"/>
                <w:u w:val="single"/>
              </w:rPr>
              <w:t>)</w:t>
            </w:r>
            <w:r w:rsidRPr="004252D9">
              <w:rPr>
                <w:rFonts w:ascii="Arial Narrow" w:hAnsi="Arial Narrow"/>
                <w:color w:val="auto"/>
              </w:rPr>
              <w:t xml:space="preserve"> x V</w:t>
            </w:r>
          </w:p>
          <w:p w14:paraId="2551CDAF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         </w:t>
            </w:r>
            <w:proofErr w:type="spellStart"/>
            <w:r w:rsidRPr="004252D9">
              <w:rPr>
                <w:rFonts w:ascii="Arial Narrow" w:hAnsi="Arial Narrow"/>
                <w:color w:val="auto"/>
              </w:rPr>
              <w:t>lo</w:t>
            </w:r>
            <w:proofErr w:type="spellEnd"/>
            <w:r w:rsidRPr="004252D9">
              <w:rPr>
                <w:rFonts w:ascii="Arial Narrow" w:hAnsi="Arial Narrow"/>
                <w:color w:val="auto"/>
              </w:rPr>
              <w:t xml:space="preserve"> </w:t>
            </w:r>
          </w:p>
          <w:p w14:paraId="4E4C8213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R - Valor do reajustamento procurado; </w:t>
            </w:r>
          </w:p>
          <w:p w14:paraId="6826E206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V - Valor do saldo contratual a ser reajustado; </w:t>
            </w:r>
          </w:p>
          <w:p w14:paraId="36B9F931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l - Índice correspondente ao mês de aniversário do orçamento; e              </w:t>
            </w:r>
            <w:proofErr w:type="spellStart"/>
            <w:r w:rsidRPr="004252D9">
              <w:rPr>
                <w:rFonts w:ascii="Arial Narrow" w:hAnsi="Arial Narrow"/>
                <w:color w:val="auto"/>
              </w:rPr>
              <w:t>lo</w:t>
            </w:r>
            <w:proofErr w:type="spellEnd"/>
            <w:r w:rsidRPr="004252D9">
              <w:rPr>
                <w:rFonts w:ascii="Arial Narrow" w:hAnsi="Arial Narrow"/>
                <w:color w:val="auto"/>
              </w:rPr>
              <w:t xml:space="preserve"> - Índice do mês referente à </w:t>
            </w: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data do orçamento</w:t>
            </w:r>
            <w:r w:rsidRPr="004252D9">
              <w:rPr>
                <w:rFonts w:ascii="Arial Narrow" w:hAnsi="Arial Narrow"/>
                <w:color w:val="auto"/>
              </w:rPr>
              <w:t>.</w:t>
            </w:r>
          </w:p>
          <w:p w14:paraId="17998DB1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</w:p>
          <w:p w14:paraId="78DD7E50" w14:textId="19BD23FA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color w:val="auto"/>
                <w:u w:val="single"/>
              </w:rPr>
              <w:t>Subcontratação</w:t>
            </w:r>
            <w:r w:rsidRPr="004252D9">
              <w:rPr>
                <w:rFonts w:ascii="Arial Narrow" w:hAnsi="Arial Narrow"/>
                <w:b/>
                <w:color w:val="auto"/>
              </w:rPr>
              <w:t>:</w:t>
            </w:r>
            <w:r w:rsidRPr="004252D9">
              <w:rPr>
                <w:rFonts w:ascii="Arial Narrow" w:hAnsi="Arial Narrow"/>
                <w:color w:val="auto"/>
              </w:rPr>
              <w:t xml:space="preserve"> É vedada a cessão total do contrato. A critério exclusivo da </w:t>
            </w:r>
            <w:r w:rsidR="00E2311A" w:rsidRPr="00E2311A">
              <w:rPr>
                <w:rFonts w:ascii="Arial Narrow" w:hAnsi="Arial Narrow"/>
                <w:b/>
                <w:bCs/>
                <w:color w:val="auto"/>
              </w:rPr>
              <w:t>SEJUSC</w:t>
            </w:r>
            <w:r w:rsidRPr="004252D9">
              <w:rPr>
                <w:rFonts w:ascii="Arial Narrow" w:hAnsi="Arial Narrow"/>
                <w:color w:val="auto"/>
              </w:rPr>
              <w:t xml:space="preserve"> e mediante prévia e expressa autorização do seu gestor, a licitante vencedora poderá, em regime de responsabilidade solidária, sem prejuízo das suas responsabilidades contratuais e legais, subcontratar parte da obra ou serviço até o limite estabelecido de 30% (trinta por cento), </w:t>
            </w:r>
            <w:r w:rsidRPr="004252D9">
              <w:rPr>
                <w:rFonts w:ascii="Arial Narrow" w:hAnsi="Arial Narrow"/>
                <w:color w:val="auto"/>
              </w:rPr>
              <w:lastRenderedPageBreak/>
              <w:t>desde que não altere substancialmente as cláusulas pactuadas, sob pena de rescisão contratual.</w:t>
            </w:r>
          </w:p>
          <w:p w14:paraId="6443BA0C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O contrato a ser firmado com a licitante vencedora reger-se-á por toda a legislação aplicável a espécie e ainda pelas disposições que a complementarem, alterarem ou regulamentarem, cujas normas, desde já, entendem-se como integrantes do mesmo, especialmente a </w:t>
            </w:r>
            <w:r w:rsidRPr="004252D9">
              <w:rPr>
                <w:rFonts w:ascii="Arial Narrow" w:hAnsi="Arial Narrow"/>
                <w:b/>
                <w:bCs/>
                <w:color w:val="auto"/>
              </w:rPr>
              <w:t xml:space="preserve">Lei n.º 8.666 </w:t>
            </w:r>
            <w:r w:rsidRPr="004252D9">
              <w:rPr>
                <w:rFonts w:ascii="Arial Narrow" w:hAnsi="Arial Narrow"/>
                <w:color w:val="auto"/>
              </w:rPr>
              <w:t xml:space="preserve">de 21 de junho de 1993. </w:t>
            </w:r>
          </w:p>
          <w:p w14:paraId="15454949" w14:textId="0E5FDDE2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A licitante contratada desenvolverá os serviços sempre em entendimento com </w:t>
            </w:r>
            <w:r w:rsidRPr="004252D9">
              <w:rPr>
                <w:rFonts w:ascii="Arial Narrow" w:hAnsi="Arial Narrow"/>
                <w:b/>
                <w:bCs/>
                <w:color w:val="auto"/>
              </w:rPr>
              <w:t xml:space="preserve">fiscalização </w:t>
            </w:r>
            <w:r w:rsidRPr="004252D9">
              <w:rPr>
                <w:rFonts w:ascii="Arial Narrow" w:hAnsi="Arial Narrow"/>
                <w:color w:val="auto"/>
              </w:rPr>
              <w:t xml:space="preserve">a ser exercida pela </w:t>
            </w:r>
            <w:r w:rsidRPr="004252D9">
              <w:rPr>
                <w:rFonts w:ascii="Arial Narrow" w:hAnsi="Arial Narrow"/>
                <w:b/>
                <w:bCs/>
                <w:color w:val="auto"/>
              </w:rPr>
              <w:t>SE</w:t>
            </w:r>
            <w:r w:rsidR="00E2311A">
              <w:rPr>
                <w:rFonts w:ascii="Arial Narrow" w:hAnsi="Arial Narrow"/>
                <w:b/>
                <w:bCs/>
                <w:color w:val="auto"/>
              </w:rPr>
              <w:t>JUSC</w:t>
            </w:r>
            <w:r w:rsidRPr="004252D9">
              <w:rPr>
                <w:rFonts w:ascii="Arial Narrow" w:hAnsi="Arial Narrow"/>
                <w:color w:val="auto"/>
              </w:rPr>
              <w:t xml:space="preserve">, devendo elaborar relatórios sobre o andamento dos serviços, mantendo-os informados sobre os problemas verificados e as providências necessárias a serem tomadas. </w:t>
            </w:r>
          </w:p>
          <w:p w14:paraId="1E1930B7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4252D9">
              <w:rPr>
                <w:rFonts w:ascii="Arial Narrow" w:hAnsi="Arial Narrow" w:cs="Times New Roman"/>
                <w:szCs w:val="24"/>
              </w:rPr>
              <w:t xml:space="preserve">O pagamento dos serviços executados será efetuado mediante a aprovação da fiscalização. </w:t>
            </w:r>
          </w:p>
          <w:p w14:paraId="476EA2FD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 xml:space="preserve">Os serviços aqui propostos deverão estar em conformidade com este </w:t>
            </w:r>
            <w:r w:rsidRPr="004252D9">
              <w:rPr>
                <w:rFonts w:ascii="Arial Narrow" w:hAnsi="Arial Narrow"/>
                <w:b/>
                <w:bCs/>
                <w:color w:val="auto"/>
              </w:rPr>
              <w:t>Projeto Básico</w:t>
            </w:r>
            <w:r w:rsidRPr="004252D9">
              <w:rPr>
                <w:rFonts w:ascii="Arial Narrow" w:hAnsi="Arial Narrow"/>
                <w:color w:val="auto"/>
              </w:rPr>
              <w:t xml:space="preserve">. </w:t>
            </w:r>
          </w:p>
          <w:p w14:paraId="7A6F9AD3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B3D41" w:rsidRPr="004252D9" w14:paraId="6FF4A3CF" w14:textId="77777777" w:rsidTr="005E6C67">
        <w:trPr>
          <w:trHeight w:val="1135"/>
        </w:trPr>
        <w:tc>
          <w:tcPr>
            <w:tcW w:w="3403" w:type="dxa"/>
          </w:tcPr>
          <w:p w14:paraId="047406F8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bCs/>
                <w:color w:val="auto"/>
              </w:rPr>
              <w:lastRenderedPageBreak/>
              <w:t xml:space="preserve">7. DISPOSIÇÕES GERAIS </w:t>
            </w:r>
          </w:p>
          <w:p w14:paraId="723BF84F" w14:textId="77777777" w:rsidR="005B3D41" w:rsidRPr="004252D9" w:rsidRDefault="005B3D41" w:rsidP="005E6C67">
            <w:pPr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01B1F2F4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22C21EAF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0C1FE138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3E0FC9F5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7EC380B6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2D2DB59D" w14:textId="77777777" w:rsidR="005B3D41" w:rsidRPr="004252D9" w:rsidRDefault="005B3D41" w:rsidP="005E6C67">
            <w:pPr>
              <w:spacing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919" w:type="dxa"/>
          </w:tcPr>
          <w:p w14:paraId="4D9D064D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A contratação aqui referida deverá ser feita através de licitação, cujo Edital e modelo de Contrato serão os praticados pelo Governo do Estado do Amazonas.</w:t>
            </w:r>
          </w:p>
          <w:p w14:paraId="1C078FA4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Os documentos da licitação serão submetidos à aprovação do Centro de Serviços Compartilhados - CSC.</w:t>
            </w:r>
          </w:p>
          <w:p w14:paraId="691E4DFC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Nenhum acréscimo ou supressão de serviços deve exceder o limite estabelecido por Lei.</w:t>
            </w:r>
          </w:p>
          <w:p w14:paraId="4AA29A5B" w14:textId="388DC0CA" w:rsidR="005B3D41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color w:val="auto"/>
              </w:rPr>
              <w:t>Informamos que o preço unitário da mão-de-obra dos profissionais indicados nos serviços dos orçamentos aprovados por esta SE</w:t>
            </w:r>
            <w:r w:rsidR="00E2311A">
              <w:rPr>
                <w:rFonts w:ascii="Arial Narrow" w:hAnsi="Arial Narrow"/>
                <w:color w:val="auto"/>
              </w:rPr>
              <w:t>JUSC</w:t>
            </w:r>
            <w:r w:rsidRPr="004252D9">
              <w:rPr>
                <w:rFonts w:ascii="Arial Narrow" w:hAnsi="Arial Narrow"/>
                <w:color w:val="auto"/>
              </w:rPr>
              <w:t xml:space="preserve"> está de acordo com os critérios aplicados nas tabelas de custos, SINAPI/AM e/ou DNIT/AM.</w:t>
            </w:r>
          </w:p>
          <w:p w14:paraId="5B087EC8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B3D41" w:rsidRPr="004252D9" w14:paraId="33CA9C92" w14:textId="77777777" w:rsidTr="005E6C67">
        <w:trPr>
          <w:trHeight w:val="977"/>
        </w:trPr>
        <w:tc>
          <w:tcPr>
            <w:tcW w:w="3403" w:type="dxa"/>
          </w:tcPr>
          <w:p w14:paraId="173D1E48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bCs/>
                <w:color w:val="auto"/>
              </w:rPr>
              <w:lastRenderedPageBreak/>
              <w:t xml:space="preserve">8. CUSTO DO PROJETO </w:t>
            </w:r>
          </w:p>
        </w:tc>
        <w:tc>
          <w:tcPr>
            <w:tcW w:w="5919" w:type="dxa"/>
          </w:tcPr>
          <w:p w14:paraId="1EF6839C" w14:textId="7223C91E" w:rsidR="00832C53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9423AF">
              <w:rPr>
                <w:rFonts w:ascii="Arial Narrow" w:hAnsi="Arial Narrow"/>
                <w:color w:val="auto"/>
              </w:rPr>
              <w:t xml:space="preserve">O valor total de referência para atender a execução do referido projeto é de </w:t>
            </w:r>
            <w:r w:rsidRPr="004E0C17">
              <w:rPr>
                <w:rFonts w:ascii="Arial Narrow" w:hAnsi="Arial Narrow"/>
                <w:b/>
                <w:color w:val="auto"/>
              </w:rPr>
              <w:t xml:space="preserve">R$ </w:t>
            </w:r>
            <w:r w:rsidR="00441A32">
              <w:rPr>
                <w:rFonts w:ascii="Arial Narrow" w:hAnsi="Arial Narrow"/>
                <w:b/>
              </w:rPr>
              <w:t>16.006.948,04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E0C17">
              <w:rPr>
                <w:rFonts w:ascii="Arial Narrow" w:hAnsi="Arial Narrow"/>
                <w:color w:val="auto"/>
              </w:rPr>
              <w:t>(</w:t>
            </w:r>
            <w:r w:rsidR="002633C8">
              <w:rPr>
                <w:rFonts w:ascii="Arial Narrow" w:hAnsi="Arial Narrow"/>
                <w:color w:val="auto"/>
              </w:rPr>
              <w:t xml:space="preserve">Dezesseis Milhões, Seis Mil, Novecentos e Quarenta e Oito Reais e Quatro </w:t>
            </w:r>
            <w:r w:rsidR="00AA088C">
              <w:rPr>
                <w:rFonts w:ascii="Arial Narrow" w:hAnsi="Arial Narrow"/>
                <w:color w:val="auto"/>
              </w:rPr>
              <w:t>Centavos)</w:t>
            </w:r>
            <w:r w:rsidRPr="004E0C17">
              <w:rPr>
                <w:rFonts w:ascii="Arial Narrow" w:hAnsi="Arial Narrow"/>
                <w:color w:val="auto"/>
              </w:rPr>
              <w:t>,</w:t>
            </w:r>
            <w:r w:rsidRPr="009423AF">
              <w:rPr>
                <w:rFonts w:ascii="Arial Narrow" w:hAnsi="Arial Narrow"/>
                <w:color w:val="auto"/>
              </w:rPr>
              <w:t xml:space="preserve"> incluso </w:t>
            </w:r>
            <w:r w:rsidR="00AA088C" w:rsidRPr="009423AF">
              <w:rPr>
                <w:rFonts w:ascii="Arial Narrow" w:hAnsi="Arial Narrow"/>
                <w:color w:val="auto"/>
              </w:rPr>
              <w:t>o BDI</w:t>
            </w:r>
            <w:r w:rsidRPr="004E0C17">
              <w:rPr>
                <w:rFonts w:ascii="Arial Narrow" w:hAnsi="Arial Narrow"/>
                <w:b/>
                <w:color w:val="auto"/>
              </w:rPr>
              <w:t xml:space="preserve"> de 28,35%</w:t>
            </w:r>
            <w:r w:rsidRPr="009423AF">
              <w:rPr>
                <w:rFonts w:ascii="Arial Narrow" w:hAnsi="Arial Narrow"/>
                <w:color w:val="auto"/>
              </w:rPr>
              <w:t xml:space="preserve"> (vinte e oito vírgula trinta e cinco por </w:t>
            </w:r>
            <w:r w:rsidR="00AA088C" w:rsidRPr="009423AF">
              <w:rPr>
                <w:rFonts w:ascii="Arial Narrow" w:hAnsi="Arial Narrow"/>
                <w:color w:val="auto"/>
              </w:rPr>
              <w:t>cento) para</w:t>
            </w:r>
            <w:r w:rsidRPr="009423AF">
              <w:rPr>
                <w:rFonts w:ascii="Arial Narrow" w:hAnsi="Arial Narrow"/>
                <w:color w:val="auto"/>
              </w:rPr>
              <w:t xml:space="preserve"> Obras de Construção de Edifícios</w:t>
            </w:r>
            <w:r w:rsidR="00F15657">
              <w:rPr>
                <w:rFonts w:ascii="Arial Narrow" w:hAnsi="Arial Narrow"/>
                <w:color w:val="auto"/>
              </w:rPr>
              <w:t>.</w:t>
            </w:r>
          </w:p>
          <w:p w14:paraId="1EBF8128" w14:textId="1E611DBF" w:rsidR="00AA088C" w:rsidRPr="004252D9" w:rsidRDefault="00AA088C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5B3D41" w:rsidRPr="004252D9" w14:paraId="3F1B1BCE" w14:textId="77777777" w:rsidTr="005E6C67">
        <w:trPr>
          <w:trHeight w:val="1514"/>
        </w:trPr>
        <w:tc>
          <w:tcPr>
            <w:tcW w:w="3403" w:type="dxa"/>
          </w:tcPr>
          <w:p w14:paraId="7EE559FD" w14:textId="55E6A0DB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bCs/>
                <w:color w:val="auto"/>
              </w:rPr>
              <w:t xml:space="preserve">9. </w:t>
            </w:r>
            <w:r w:rsidR="00D708CF">
              <w:rPr>
                <w:rFonts w:ascii="Arial Narrow" w:hAnsi="Arial Narrow"/>
                <w:b/>
                <w:bCs/>
                <w:color w:val="auto"/>
              </w:rPr>
              <w:t>PLANO DE APLICAÇÃO</w:t>
            </w:r>
          </w:p>
        </w:tc>
        <w:tc>
          <w:tcPr>
            <w:tcW w:w="5919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1148"/>
              <w:gridCol w:w="1138"/>
              <w:gridCol w:w="1138"/>
              <w:gridCol w:w="1138"/>
            </w:tblGrid>
            <w:tr w:rsidR="00D708CF" w14:paraId="1658944E" w14:textId="77777777" w:rsidTr="00D708CF">
              <w:tc>
                <w:tcPr>
                  <w:tcW w:w="1126" w:type="dxa"/>
                  <w:shd w:val="clear" w:color="auto" w:fill="F2F2F2" w:themeFill="background1" w:themeFillShade="F2"/>
                  <w:vAlign w:val="center"/>
                </w:tcPr>
                <w:p w14:paraId="7304067A" w14:textId="380C3685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UG</w:t>
                  </w:r>
                </w:p>
              </w:tc>
              <w:tc>
                <w:tcPr>
                  <w:tcW w:w="1148" w:type="dxa"/>
                  <w:shd w:val="clear" w:color="auto" w:fill="F2F2F2" w:themeFill="background1" w:themeFillShade="F2"/>
                  <w:vAlign w:val="center"/>
                </w:tcPr>
                <w:p w14:paraId="28E086D0" w14:textId="77777777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Programa</w:t>
                  </w:r>
                </w:p>
                <w:p w14:paraId="7C795C25" w14:textId="3A780ADC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Trabalho</w:t>
                  </w:r>
                </w:p>
              </w:tc>
              <w:tc>
                <w:tcPr>
                  <w:tcW w:w="1138" w:type="dxa"/>
                  <w:shd w:val="clear" w:color="auto" w:fill="F2F2F2" w:themeFill="background1" w:themeFillShade="F2"/>
                  <w:vAlign w:val="center"/>
                </w:tcPr>
                <w:p w14:paraId="39E5ABD3" w14:textId="77777777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Fonte do</w:t>
                  </w:r>
                </w:p>
                <w:p w14:paraId="56D0F1F3" w14:textId="7DE3402F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Recurso</w:t>
                  </w:r>
                </w:p>
              </w:tc>
              <w:tc>
                <w:tcPr>
                  <w:tcW w:w="1138" w:type="dxa"/>
                  <w:shd w:val="clear" w:color="auto" w:fill="F2F2F2" w:themeFill="background1" w:themeFillShade="F2"/>
                  <w:vAlign w:val="center"/>
                </w:tcPr>
                <w:p w14:paraId="28DED085" w14:textId="5EEB0692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Natureza de Despesa</w:t>
                  </w:r>
                </w:p>
              </w:tc>
              <w:tc>
                <w:tcPr>
                  <w:tcW w:w="1138" w:type="dxa"/>
                  <w:shd w:val="clear" w:color="auto" w:fill="F2F2F2" w:themeFill="background1" w:themeFillShade="F2"/>
                  <w:vAlign w:val="center"/>
                </w:tcPr>
                <w:p w14:paraId="06F23E9C" w14:textId="1BB93455" w:rsidR="00D708CF" w:rsidRDefault="00D708CF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auto"/>
                    </w:rPr>
                    <w:t>Valor Total</w:t>
                  </w:r>
                </w:p>
              </w:tc>
            </w:tr>
            <w:tr w:rsidR="00CF39E8" w14:paraId="11B13DB1" w14:textId="77777777" w:rsidTr="00D708CF">
              <w:tc>
                <w:tcPr>
                  <w:tcW w:w="1126" w:type="dxa"/>
                  <w:vMerge w:val="restart"/>
                  <w:vAlign w:val="center"/>
                </w:tcPr>
                <w:p w14:paraId="5F3E3F90" w14:textId="662CEEEC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</w:pPr>
                  <w:r w:rsidRPr="00340D0E"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  <w:t>21.101</w:t>
                  </w:r>
                </w:p>
              </w:tc>
              <w:tc>
                <w:tcPr>
                  <w:tcW w:w="1148" w:type="dxa"/>
                  <w:vMerge w:val="restart"/>
                  <w:vAlign w:val="center"/>
                </w:tcPr>
                <w:p w14:paraId="72195F3C" w14:textId="138C9BE2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 w:rsidRPr="00340D0E"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14.422.3347.1223.0011</w:t>
                  </w:r>
                </w:p>
              </w:tc>
              <w:tc>
                <w:tcPr>
                  <w:tcW w:w="1138" w:type="dxa"/>
                  <w:vAlign w:val="center"/>
                </w:tcPr>
                <w:p w14:paraId="52677E87" w14:textId="35240FD8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 w:rsidRPr="00340D0E"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1.700.280.1.1362</w:t>
                  </w:r>
                </w:p>
              </w:tc>
              <w:tc>
                <w:tcPr>
                  <w:tcW w:w="1138" w:type="dxa"/>
                  <w:vAlign w:val="center"/>
                </w:tcPr>
                <w:p w14:paraId="676DD316" w14:textId="34006190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 w:rsidRPr="00340D0E"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44.90.51</w:t>
                  </w:r>
                </w:p>
              </w:tc>
              <w:tc>
                <w:tcPr>
                  <w:tcW w:w="1138" w:type="dxa"/>
                  <w:vAlign w:val="center"/>
                </w:tcPr>
                <w:p w14:paraId="7B47EF38" w14:textId="000D015B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R$ 9.108.233,02</w:t>
                  </w:r>
                </w:p>
              </w:tc>
            </w:tr>
            <w:tr w:rsidR="00CF39E8" w14:paraId="3BFD2667" w14:textId="77777777" w:rsidTr="00D708CF">
              <w:tc>
                <w:tcPr>
                  <w:tcW w:w="1126" w:type="dxa"/>
                  <w:vMerge/>
                  <w:vAlign w:val="center"/>
                </w:tcPr>
                <w:p w14:paraId="2B5F236D" w14:textId="77777777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vMerge/>
                  <w:vAlign w:val="center"/>
                </w:tcPr>
                <w:p w14:paraId="7BDEDFFD" w14:textId="77777777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14:paraId="3043F37C" w14:textId="5852583D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1.501.160.0.1362</w:t>
                  </w:r>
                </w:p>
              </w:tc>
              <w:tc>
                <w:tcPr>
                  <w:tcW w:w="1138" w:type="dxa"/>
                  <w:vAlign w:val="center"/>
                </w:tcPr>
                <w:p w14:paraId="39E09837" w14:textId="49377A60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 w:rsidRPr="00340D0E"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44.90.51</w:t>
                  </w:r>
                </w:p>
              </w:tc>
              <w:tc>
                <w:tcPr>
                  <w:tcW w:w="1138" w:type="dxa"/>
                  <w:vAlign w:val="center"/>
                </w:tcPr>
                <w:p w14:paraId="783C4A59" w14:textId="64C4622F" w:rsidR="00CF39E8" w:rsidRPr="00340D0E" w:rsidRDefault="00CF39E8" w:rsidP="008D39E7">
                  <w:pPr>
                    <w:pStyle w:val="Default"/>
                    <w:framePr w:hSpace="141" w:wrap="around" w:vAnchor="page" w:hAnchor="margin" w:y="2941"/>
                    <w:tabs>
                      <w:tab w:val="left" w:pos="8789"/>
                    </w:tabs>
                    <w:spacing w:line="360" w:lineRule="auto"/>
                    <w:jc w:val="center"/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</w:pPr>
                  <w:r w:rsidRPr="00340D0E">
                    <w:rPr>
                      <w:rFonts w:ascii="Arial Narrow" w:hAnsi="Arial Narrow"/>
                      <w:color w:val="auto"/>
                      <w:sz w:val="14"/>
                      <w:szCs w:val="14"/>
                    </w:rPr>
                    <w:t>R$ 6.898.715,02</w:t>
                  </w:r>
                </w:p>
              </w:tc>
            </w:tr>
          </w:tbl>
          <w:p w14:paraId="64764B7D" w14:textId="77777777" w:rsidR="005B3D41" w:rsidRPr="004252D9" w:rsidRDefault="005B3D41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color w:val="auto"/>
              </w:rPr>
            </w:pPr>
          </w:p>
          <w:p w14:paraId="293AE2DD" w14:textId="6B7CAE79" w:rsidR="005B3D41" w:rsidRPr="008952DF" w:rsidRDefault="005B3D41" w:rsidP="00696A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531DF3B4" w14:textId="77777777" w:rsidR="005B3D41" w:rsidRPr="004252D9" w:rsidRDefault="005B3D41" w:rsidP="005E6C67">
            <w:pPr>
              <w:tabs>
                <w:tab w:val="left" w:pos="3435"/>
              </w:tabs>
              <w:spacing w:line="360" w:lineRule="auto"/>
              <w:jc w:val="right"/>
              <w:rPr>
                <w:rFonts w:ascii="Arial Narrow" w:hAnsi="Arial Narrow"/>
                <w:szCs w:val="24"/>
              </w:rPr>
            </w:pPr>
          </w:p>
        </w:tc>
      </w:tr>
      <w:tr w:rsidR="00696A06" w:rsidRPr="004252D9" w14:paraId="629BC73D" w14:textId="77777777" w:rsidTr="005E6C67">
        <w:trPr>
          <w:trHeight w:val="1514"/>
        </w:trPr>
        <w:tc>
          <w:tcPr>
            <w:tcW w:w="3403" w:type="dxa"/>
          </w:tcPr>
          <w:p w14:paraId="0EDA9CE4" w14:textId="7379718F" w:rsidR="00696A06" w:rsidRPr="004252D9" w:rsidRDefault="00696A06" w:rsidP="005E6C67">
            <w:pPr>
              <w:pStyle w:val="Default"/>
              <w:tabs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 xml:space="preserve">10. DECLARAÇÃO </w:t>
            </w:r>
          </w:p>
        </w:tc>
        <w:tc>
          <w:tcPr>
            <w:tcW w:w="5919" w:type="dxa"/>
          </w:tcPr>
          <w:p w14:paraId="34DA770D" w14:textId="77777777" w:rsidR="00696A06" w:rsidRPr="004252D9" w:rsidRDefault="00696A06" w:rsidP="00696A06">
            <w:pPr>
              <w:pStyle w:val="Default"/>
              <w:tabs>
                <w:tab w:val="left" w:pos="8789"/>
              </w:tabs>
              <w:spacing w:line="360" w:lineRule="auto"/>
              <w:ind w:right="33"/>
              <w:jc w:val="both"/>
              <w:rPr>
                <w:rFonts w:ascii="Arial Narrow" w:hAnsi="Arial Narrow"/>
                <w:color w:val="auto"/>
              </w:rPr>
            </w:pPr>
            <w:r w:rsidRPr="004252D9">
              <w:rPr>
                <w:rFonts w:ascii="Arial Narrow" w:hAnsi="Arial Narrow"/>
                <w:b/>
                <w:bCs/>
                <w:color w:val="auto"/>
              </w:rPr>
              <w:t xml:space="preserve">Declaro </w:t>
            </w:r>
            <w:r w:rsidRPr="004252D9">
              <w:rPr>
                <w:rFonts w:ascii="Arial Narrow" w:hAnsi="Arial Narrow"/>
                <w:color w:val="auto"/>
              </w:rPr>
              <w:t xml:space="preserve">que este </w:t>
            </w:r>
            <w:r w:rsidRPr="004252D9">
              <w:rPr>
                <w:rFonts w:ascii="Arial Narrow" w:hAnsi="Arial Narrow"/>
                <w:b/>
                <w:bCs/>
                <w:color w:val="auto"/>
              </w:rPr>
              <w:t xml:space="preserve">Projeto Básico </w:t>
            </w:r>
            <w:r w:rsidRPr="004252D9">
              <w:rPr>
                <w:rFonts w:ascii="Arial Narrow" w:hAnsi="Arial Narrow"/>
                <w:color w:val="auto"/>
              </w:rPr>
              <w:t xml:space="preserve">está de acordo com a </w:t>
            </w:r>
            <w:r w:rsidRPr="004252D9">
              <w:rPr>
                <w:rFonts w:ascii="Arial Narrow" w:hAnsi="Arial Narrow"/>
                <w:b/>
                <w:bCs/>
                <w:color w:val="auto"/>
              </w:rPr>
              <w:t xml:space="preserve">Lei nº 8.666 </w:t>
            </w:r>
            <w:r w:rsidRPr="004252D9">
              <w:rPr>
                <w:rFonts w:ascii="Arial Narrow" w:hAnsi="Arial Narrow"/>
                <w:color w:val="auto"/>
              </w:rPr>
              <w:t xml:space="preserve">de 21 de junho de 1993. </w:t>
            </w:r>
          </w:p>
          <w:p w14:paraId="5398E52E" w14:textId="77777777" w:rsidR="00696A06" w:rsidRDefault="00696A06" w:rsidP="00696A06">
            <w:pPr>
              <w:pStyle w:val="Default"/>
              <w:tabs>
                <w:tab w:val="left" w:pos="8789"/>
              </w:tabs>
              <w:spacing w:line="360" w:lineRule="auto"/>
              <w:rPr>
                <w:rFonts w:ascii="Arial Narrow" w:hAnsi="Arial Narrow"/>
              </w:rPr>
            </w:pPr>
          </w:p>
          <w:p w14:paraId="557D5612" w14:textId="7B1EF5BF" w:rsidR="00696A06" w:rsidRPr="00696A06" w:rsidRDefault="00696A06" w:rsidP="00696A06">
            <w:pPr>
              <w:pStyle w:val="Default"/>
              <w:tabs>
                <w:tab w:val="left" w:pos="8789"/>
              </w:tabs>
              <w:spacing w:line="360" w:lineRule="auto"/>
              <w:jc w:val="right"/>
              <w:rPr>
                <w:rFonts w:ascii="Arial Narrow" w:hAnsi="Arial Narrow"/>
                <w:color w:val="auto"/>
              </w:rPr>
            </w:pPr>
            <w:r w:rsidRPr="00696A06">
              <w:rPr>
                <w:rFonts w:ascii="Arial Narrow" w:hAnsi="Arial Narrow"/>
                <w:color w:val="auto"/>
              </w:rPr>
              <w:t>Manaus, 11 de maio de 2023</w:t>
            </w:r>
          </w:p>
          <w:p w14:paraId="73C1886E" w14:textId="3F8D7A7E" w:rsidR="00696A06" w:rsidRDefault="00696A06" w:rsidP="00696A06">
            <w:pPr>
              <w:pStyle w:val="Default"/>
              <w:tabs>
                <w:tab w:val="left" w:pos="8789"/>
              </w:tabs>
              <w:spacing w:line="360" w:lineRule="auto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 xml:space="preserve">                       </w:t>
            </w:r>
          </w:p>
        </w:tc>
      </w:tr>
    </w:tbl>
    <w:p w14:paraId="5B056183" w14:textId="2B7E1983" w:rsidR="004E2C60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r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(Assinado digitalmente)</w:t>
      </w:r>
    </w:p>
    <w:p w14:paraId="7D0A1045" w14:textId="012A680A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proofErr w:type="spellStart"/>
      <w:r>
        <w:rPr>
          <w:rFonts w:ascii="Arial Narrow" w:eastAsia="Times New Roman" w:hAnsi="Arial Narrow"/>
          <w:b/>
          <w:szCs w:val="24"/>
          <w:lang w:eastAsia="pt-BR"/>
        </w:rPr>
        <w:t>E</w:t>
      </w:r>
      <w:r w:rsidRPr="004252D9">
        <w:rPr>
          <w:rFonts w:ascii="Arial Narrow" w:eastAsia="Times New Roman" w:hAnsi="Arial Narrow"/>
          <w:b/>
          <w:szCs w:val="24"/>
          <w:lang w:eastAsia="pt-BR"/>
        </w:rPr>
        <w:t>ngº</w:t>
      </w:r>
      <w:proofErr w:type="spellEnd"/>
      <w:r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 xml:space="preserve"> PITER SIQUEIRA DE ARAÚJO</w:t>
      </w:r>
    </w:p>
    <w:p w14:paraId="7426D454" w14:textId="77777777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r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Chefe de Departamento</w:t>
      </w:r>
    </w:p>
    <w:p w14:paraId="10AC8B5C" w14:textId="51FFB36C" w:rsidR="008476EC" w:rsidRPr="008476EC" w:rsidRDefault="008C569D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r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DEINFRA</w:t>
      </w:r>
      <w:r w:rsidR="008476EC"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/SEJUSC</w:t>
      </w:r>
    </w:p>
    <w:p w14:paraId="466B112D" w14:textId="77777777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</w:p>
    <w:p w14:paraId="147ED380" w14:textId="77777777" w:rsid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</w:p>
    <w:p w14:paraId="5B621A24" w14:textId="77777777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</w:p>
    <w:p w14:paraId="60849B68" w14:textId="77777777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</w:p>
    <w:p w14:paraId="5A4AD0AD" w14:textId="79A76ED3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r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(Assinado digitalmente)</w:t>
      </w:r>
    </w:p>
    <w:p w14:paraId="03346C45" w14:textId="77777777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r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JUSSARA PEDROSA CELESTINO DA COSTA</w:t>
      </w:r>
    </w:p>
    <w:p w14:paraId="0D2A4A5E" w14:textId="77777777" w:rsidR="008476EC" w:rsidRPr="008476EC" w:rsidRDefault="008476EC" w:rsidP="008476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</w:pPr>
      <w:r w:rsidRPr="008476EC">
        <w:rPr>
          <w:rFonts w:ascii="Arial Narrow" w:eastAsia="Times New Roman" w:hAnsi="Arial Narrow"/>
          <w:i/>
          <w:kern w:val="0"/>
          <w:szCs w:val="24"/>
          <w:lang w:eastAsia="pt-BR"/>
          <w14:ligatures w14:val="none"/>
        </w:rPr>
        <w:t>Secretária de Estado de justiça, Direitos Humanos e Cidadania - SEJUSC</w:t>
      </w:r>
    </w:p>
    <w:p w14:paraId="4531FFDA" w14:textId="77777777" w:rsidR="004E2C60" w:rsidRDefault="004E2C60" w:rsidP="00222D89">
      <w:pPr>
        <w:tabs>
          <w:tab w:val="left" w:pos="4840"/>
        </w:tabs>
        <w:jc w:val="right"/>
        <w:rPr>
          <w:rFonts w:ascii="Arial Narrow" w:hAnsi="Arial Narrow"/>
          <w:b/>
          <w:bCs/>
          <w:szCs w:val="24"/>
        </w:rPr>
      </w:pPr>
    </w:p>
    <w:sectPr w:rsidR="004E2C60" w:rsidSect="009D7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4B5D" w14:textId="77777777" w:rsidR="006C251E" w:rsidRDefault="006C251E" w:rsidP="00F94EB2">
      <w:pPr>
        <w:spacing w:after="0" w:line="240" w:lineRule="auto"/>
      </w:pPr>
      <w:r>
        <w:separator/>
      </w:r>
    </w:p>
  </w:endnote>
  <w:endnote w:type="continuationSeparator" w:id="0">
    <w:p w14:paraId="419A27F9" w14:textId="77777777" w:rsidR="006C251E" w:rsidRDefault="006C251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478C" w14:textId="77777777" w:rsidR="009F0817" w:rsidRDefault="009F08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2EEDB9B7" w:rsidR="00F94EB2" w:rsidRPr="00F94EB2" w:rsidRDefault="00797BA7" w:rsidP="00F94EB2">
    <w:pPr>
      <w:pStyle w:val="Rodap"/>
      <w:rPr>
        <w:rFonts w:ascii="Montserrat" w:hAnsi="Montserrat"/>
        <w:sz w:val="18"/>
        <w:szCs w:val="18"/>
      </w:rPr>
    </w:pP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8480" behindDoc="0" locked="0" layoutInCell="1" allowOverlap="1" wp14:anchorId="05F3A321" wp14:editId="13449A55">
          <wp:simplePos x="0" y="0"/>
          <wp:positionH relativeFrom="column">
            <wp:posOffset>3642801</wp:posOffset>
          </wp:positionH>
          <wp:positionV relativeFrom="paragraph">
            <wp:posOffset>-842298</wp:posOffset>
          </wp:positionV>
          <wp:extent cx="2727960" cy="1039495"/>
          <wp:effectExtent l="0" t="0" r="0" b="0"/>
          <wp:wrapSquare wrapText="bothSides"/>
          <wp:docPr id="392735697" name="Imagem 39273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96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C16B0DF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355050114" name="Imagem 135505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18179F31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61926790" name="Imagem 1561926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67B4580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079736629" name="Imagem 207973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CC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A9A66C" wp14:editId="5BA047C2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964208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587FAFAB" w:rsid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797BA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3632-0654</w:t>
                          </w:r>
                        </w:p>
                        <w:p w14:paraId="4441270D" w14:textId="7F1B8795" w:rsidR="00E503EE" w:rsidRPr="00E503EE" w:rsidRDefault="00E503EE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E503EE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Rua Bento Maciel, 02, </w:t>
                          </w:r>
                        </w:p>
                        <w:p w14:paraId="15DF8AD0" w14:textId="77777777" w:rsidR="00797BA7" w:rsidRPr="00797BA7" w:rsidRDefault="00797BA7" w:rsidP="00797BA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797BA7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Conjunto </w:t>
                          </w:r>
                          <w:proofErr w:type="spellStart"/>
                          <w:r w:rsidRPr="00797BA7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Celetramazon</w:t>
                          </w:r>
                          <w:proofErr w:type="spellEnd"/>
                          <w:r w:rsidRPr="00797BA7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- Adrianópolis.</w:t>
                          </w:r>
                        </w:p>
                        <w:p w14:paraId="52DEBEC3" w14:textId="77777777" w:rsidR="00797BA7" w:rsidRPr="00797BA7" w:rsidRDefault="00797BA7" w:rsidP="00797BA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– Am </w:t>
                          </w:r>
                          <w:r w:rsidRPr="00797BA7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– CEP 69057-300</w:t>
                          </w:r>
                        </w:p>
                        <w:p w14:paraId="1A1CDE83" w14:textId="4649195A" w:rsidR="00263732" w:rsidRPr="00263732" w:rsidRDefault="00263732" w:rsidP="00797BA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9A6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" filled="f" stroked="f">
              <v:textbox>
                <w:txbxContent>
                  <w:p w14:paraId="14DD6086" w14:textId="587FAFAB" w:rsid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797BA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3632-0654</w:t>
                    </w:r>
                  </w:p>
                  <w:p w14:paraId="4441270D" w14:textId="7F1B8795" w:rsidR="00E503EE" w:rsidRPr="00E503EE" w:rsidRDefault="00E503EE" w:rsidP="00FE5C5A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E503EE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Rua Bento Maciel, 02, </w:t>
                    </w:r>
                  </w:p>
                  <w:p w14:paraId="15DF8AD0" w14:textId="77777777" w:rsidR="00797BA7" w:rsidRPr="00797BA7" w:rsidRDefault="00797BA7" w:rsidP="00797BA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797BA7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Conjunto Celetramazon - Adrianópolis.</w:t>
                    </w:r>
                  </w:p>
                  <w:p w14:paraId="52DEBEC3" w14:textId="77777777" w:rsidR="00797BA7" w:rsidRPr="00797BA7" w:rsidRDefault="00797BA7" w:rsidP="00797BA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– Am </w:t>
                    </w:r>
                    <w:r w:rsidRPr="00797BA7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– CEP 69057-300</w:t>
                    </w:r>
                  </w:p>
                  <w:p w14:paraId="1A1CDE83" w14:textId="4649195A" w:rsidR="00263732" w:rsidRPr="00263732" w:rsidRDefault="00263732" w:rsidP="00797BA7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00CC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6C66DE" wp14:editId="6C92CA99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658495"/>
              <wp:effectExtent l="0" t="0" r="0" b="0"/>
              <wp:wrapSquare wrapText="bothSides"/>
              <wp:docPr id="87843379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658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26EBC696" w:rsidR="00263732" w:rsidRDefault="00000000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797BA7" w:rsidRPr="005345CA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www.sejusc.am.gov.br</w:t>
                            </w:r>
                          </w:hyperlink>
                        </w:p>
                        <w:p w14:paraId="4D517C4C" w14:textId="21F18559" w:rsidR="00797BA7" w:rsidRPr="00263732" w:rsidRDefault="00797BA7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: @SejuscAm</w:t>
                          </w:r>
                        </w:p>
                        <w:p w14:paraId="131C1DE1" w14:textId="15781CBB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 w:rsidR="00797BA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797BA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SejuscAm</w:t>
                          </w:r>
                          <w:proofErr w:type="spellEnd"/>
                        </w:p>
                        <w:p w14:paraId="744217AF" w14:textId="662E4D7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="00797BA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SejuscAM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6C66DE" id="Caixa de Texto 1" o:spid="_x0000_s1027" type="#_x0000_t202" style="position:absolute;margin-left:-41.55pt;margin-top:-55.1pt;width:165.75pt;height:51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" filled="f" stroked="f">
              <v:textbox style="mso-fit-shape-to-text:t">
                <w:txbxContent>
                  <w:p w14:paraId="42C177C2" w14:textId="26EBC696" w:rsidR="00263732" w:rsidRDefault="00C00CC5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hyperlink r:id="rId5" w:history="1">
                      <w:r w:rsidR="00797BA7" w:rsidRPr="005345CA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www.sejusc.am.gov.br</w:t>
                      </w:r>
                    </w:hyperlink>
                  </w:p>
                  <w:p w14:paraId="4D517C4C" w14:textId="21F18559" w:rsidR="00797BA7" w:rsidRPr="00263732" w:rsidRDefault="00797BA7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instagram: @SejuscAm</w:t>
                    </w:r>
                  </w:p>
                  <w:p w14:paraId="131C1DE1" w14:textId="15781CBB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 w:rsidR="00797BA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/SejuscAm</w:t>
                    </w:r>
                  </w:p>
                  <w:p w14:paraId="744217AF" w14:textId="662E4D7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 w:rsidR="00797BA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SejuscAM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B2F7" w14:textId="77777777" w:rsidR="009F0817" w:rsidRDefault="009F08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6EA6" w14:textId="77777777" w:rsidR="006C251E" w:rsidRDefault="006C251E" w:rsidP="00F94EB2">
      <w:pPr>
        <w:spacing w:after="0" w:line="240" w:lineRule="auto"/>
      </w:pPr>
      <w:r>
        <w:separator/>
      </w:r>
    </w:p>
  </w:footnote>
  <w:footnote w:type="continuationSeparator" w:id="0">
    <w:p w14:paraId="51E2A73C" w14:textId="77777777" w:rsidR="006C251E" w:rsidRDefault="006C251E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9E32" w14:textId="77777777" w:rsidR="009F0817" w:rsidRDefault="009F08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A6DD" w14:textId="09FB6497" w:rsidR="009F0817" w:rsidRDefault="009F0817" w:rsidP="009F0817">
    <w:pPr>
      <w:pStyle w:val="Cabealho"/>
      <w:spacing w:line="360" w:lineRule="auto"/>
      <w:jc w:val="center"/>
      <w:rPr>
        <w:rFonts w:ascii="Arial Narrow" w:hAnsi="Arial Narrow" w:cs="Times New Roman"/>
        <w:b/>
        <w:bCs/>
        <w:sz w:val="32"/>
        <w:szCs w:val="32"/>
      </w:rPr>
    </w:pPr>
    <w:r w:rsidRPr="009F0817">
      <w:rPr>
        <w:rFonts w:ascii="Arial Narrow" w:hAnsi="Arial Narrow" w:cs="Times New Roman"/>
        <w:b/>
        <w:bCs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7CD650E5">
          <wp:simplePos x="0" y="0"/>
          <wp:positionH relativeFrom="page">
            <wp:align>right</wp:align>
          </wp:positionH>
          <wp:positionV relativeFrom="paragraph">
            <wp:posOffset>-666115</wp:posOffset>
          </wp:positionV>
          <wp:extent cx="7536815" cy="10660143"/>
          <wp:effectExtent l="0" t="0" r="6985" b="8255"/>
          <wp:wrapNone/>
          <wp:docPr id="1562943239" name="Imagem 1562943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10660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6DFEC" w14:textId="77777777" w:rsidR="009F0817" w:rsidRDefault="009F0817" w:rsidP="009F0817">
    <w:pPr>
      <w:pStyle w:val="Cabealho"/>
      <w:spacing w:line="360" w:lineRule="auto"/>
      <w:jc w:val="center"/>
      <w:rPr>
        <w:rFonts w:ascii="Arial Narrow" w:hAnsi="Arial Narrow" w:cs="Times New Roman"/>
        <w:b/>
        <w:bCs/>
        <w:sz w:val="32"/>
        <w:szCs w:val="32"/>
      </w:rPr>
    </w:pPr>
  </w:p>
  <w:p w14:paraId="7532DAD1" w14:textId="14688D24" w:rsidR="00F94EB2" w:rsidRPr="009F0817" w:rsidRDefault="009F0817" w:rsidP="009F0817">
    <w:pPr>
      <w:pStyle w:val="Cabealho"/>
      <w:spacing w:line="360" w:lineRule="auto"/>
      <w:jc w:val="center"/>
      <w:rPr>
        <w:rFonts w:ascii="Arial Narrow" w:hAnsi="Arial Narrow" w:cs="Times New Roman"/>
        <w:b/>
        <w:bCs/>
        <w:sz w:val="32"/>
        <w:szCs w:val="32"/>
      </w:rPr>
    </w:pPr>
    <w:r w:rsidRPr="009F0817">
      <w:rPr>
        <w:rFonts w:ascii="Arial Narrow" w:hAnsi="Arial Narrow" w:cs="Times New Roman"/>
        <w:b/>
        <w:bCs/>
        <w:sz w:val="32"/>
        <w:szCs w:val="32"/>
      </w:rPr>
      <w:t>PROJETO BÁSICO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2889" w14:textId="77777777" w:rsidR="009F0817" w:rsidRDefault="009F08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E44"/>
    <w:multiLevelType w:val="hybridMultilevel"/>
    <w:tmpl w:val="30F201DC"/>
    <w:lvl w:ilvl="0" w:tplc="AF3AB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258"/>
    <w:multiLevelType w:val="hybridMultilevel"/>
    <w:tmpl w:val="345C3A5A"/>
    <w:lvl w:ilvl="0" w:tplc="E2CC5370">
      <w:start w:val="1"/>
      <w:numFmt w:val="decimal"/>
      <w:lvlText w:val="%1."/>
      <w:lvlJc w:val="left"/>
      <w:pPr>
        <w:ind w:left="728" w:hanging="202"/>
        <w:jc w:val="righ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t-PT" w:eastAsia="en-US" w:bidi="ar-SA"/>
      </w:rPr>
    </w:lvl>
    <w:lvl w:ilvl="1" w:tplc="7B9C85A2">
      <w:numFmt w:val="bullet"/>
      <w:lvlText w:val="•"/>
      <w:lvlJc w:val="left"/>
      <w:pPr>
        <w:ind w:left="1286" w:hanging="202"/>
      </w:pPr>
      <w:rPr>
        <w:rFonts w:hint="default"/>
        <w:lang w:val="pt-PT" w:eastAsia="en-US" w:bidi="ar-SA"/>
      </w:rPr>
    </w:lvl>
    <w:lvl w:ilvl="2" w:tplc="FD566CAE">
      <w:numFmt w:val="bullet"/>
      <w:lvlText w:val="•"/>
      <w:lvlJc w:val="left"/>
      <w:pPr>
        <w:ind w:left="1852" w:hanging="202"/>
      </w:pPr>
      <w:rPr>
        <w:rFonts w:hint="default"/>
        <w:lang w:val="pt-PT" w:eastAsia="en-US" w:bidi="ar-SA"/>
      </w:rPr>
    </w:lvl>
    <w:lvl w:ilvl="3" w:tplc="E9BC8A50">
      <w:numFmt w:val="bullet"/>
      <w:lvlText w:val="•"/>
      <w:lvlJc w:val="left"/>
      <w:pPr>
        <w:ind w:left="2418" w:hanging="202"/>
      </w:pPr>
      <w:rPr>
        <w:rFonts w:hint="default"/>
        <w:lang w:val="pt-PT" w:eastAsia="en-US" w:bidi="ar-SA"/>
      </w:rPr>
    </w:lvl>
    <w:lvl w:ilvl="4" w:tplc="8CB47D72">
      <w:numFmt w:val="bullet"/>
      <w:lvlText w:val="•"/>
      <w:lvlJc w:val="left"/>
      <w:pPr>
        <w:ind w:left="2984" w:hanging="202"/>
      </w:pPr>
      <w:rPr>
        <w:rFonts w:hint="default"/>
        <w:lang w:val="pt-PT" w:eastAsia="en-US" w:bidi="ar-SA"/>
      </w:rPr>
    </w:lvl>
    <w:lvl w:ilvl="5" w:tplc="23A6102A">
      <w:numFmt w:val="bullet"/>
      <w:lvlText w:val="•"/>
      <w:lvlJc w:val="left"/>
      <w:pPr>
        <w:ind w:left="3550" w:hanging="202"/>
      </w:pPr>
      <w:rPr>
        <w:rFonts w:hint="default"/>
        <w:lang w:val="pt-PT" w:eastAsia="en-US" w:bidi="ar-SA"/>
      </w:rPr>
    </w:lvl>
    <w:lvl w:ilvl="6" w:tplc="5752526A">
      <w:numFmt w:val="bullet"/>
      <w:lvlText w:val="•"/>
      <w:lvlJc w:val="left"/>
      <w:pPr>
        <w:ind w:left="4116" w:hanging="202"/>
      </w:pPr>
      <w:rPr>
        <w:rFonts w:hint="default"/>
        <w:lang w:val="pt-PT" w:eastAsia="en-US" w:bidi="ar-SA"/>
      </w:rPr>
    </w:lvl>
    <w:lvl w:ilvl="7" w:tplc="038C8906">
      <w:numFmt w:val="bullet"/>
      <w:lvlText w:val="•"/>
      <w:lvlJc w:val="left"/>
      <w:pPr>
        <w:ind w:left="4682" w:hanging="202"/>
      </w:pPr>
      <w:rPr>
        <w:rFonts w:hint="default"/>
        <w:lang w:val="pt-PT" w:eastAsia="en-US" w:bidi="ar-SA"/>
      </w:rPr>
    </w:lvl>
    <w:lvl w:ilvl="8" w:tplc="35E4EE4C">
      <w:numFmt w:val="bullet"/>
      <w:lvlText w:val="•"/>
      <w:lvlJc w:val="left"/>
      <w:pPr>
        <w:ind w:left="5248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744C"/>
    <w:multiLevelType w:val="hybridMultilevel"/>
    <w:tmpl w:val="96560F2C"/>
    <w:lvl w:ilvl="0" w:tplc="6540A36A">
      <w:start w:val="1"/>
      <w:numFmt w:val="lowerLetter"/>
      <w:lvlText w:val="%1)"/>
      <w:lvlJc w:val="left"/>
      <w:pPr>
        <w:ind w:left="4272" w:hanging="221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t-PT" w:eastAsia="en-US" w:bidi="ar-SA"/>
      </w:rPr>
    </w:lvl>
    <w:lvl w:ilvl="1" w:tplc="8AD0C96A">
      <w:numFmt w:val="bullet"/>
      <w:lvlText w:val="•"/>
      <w:lvlJc w:val="left"/>
      <w:pPr>
        <w:ind w:left="4864" w:hanging="221"/>
      </w:pPr>
      <w:rPr>
        <w:rFonts w:hint="default"/>
        <w:lang w:val="pt-PT" w:eastAsia="en-US" w:bidi="ar-SA"/>
      </w:rPr>
    </w:lvl>
    <w:lvl w:ilvl="2" w:tplc="5CFEFF26">
      <w:numFmt w:val="bullet"/>
      <w:lvlText w:val="•"/>
      <w:lvlJc w:val="left"/>
      <w:pPr>
        <w:ind w:left="5449" w:hanging="221"/>
      </w:pPr>
      <w:rPr>
        <w:rFonts w:hint="default"/>
        <w:lang w:val="pt-PT" w:eastAsia="en-US" w:bidi="ar-SA"/>
      </w:rPr>
    </w:lvl>
    <w:lvl w:ilvl="3" w:tplc="D870FE02">
      <w:numFmt w:val="bullet"/>
      <w:lvlText w:val="•"/>
      <w:lvlJc w:val="left"/>
      <w:pPr>
        <w:ind w:left="6033" w:hanging="221"/>
      </w:pPr>
      <w:rPr>
        <w:rFonts w:hint="default"/>
        <w:lang w:val="pt-PT" w:eastAsia="en-US" w:bidi="ar-SA"/>
      </w:rPr>
    </w:lvl>
    <w:lvl w:ilvl="4" w:tplc="48D232FA">
      <w:numFmt w:val="bullet"/>
      <w:lvlText w:val="•"/>
      <w:lvlJc w:val="left"/>
      <w:pPr>
        <w:ind w:left="6618" w:hanging="221"/>
      </w:pPr>
      <w:rPr>
        <w:rFonts w:hint="default"/>
        <w:lang w:val="pt-PT" w:eastAsia="en-US" w:bidi="ar-SA"/>
      </w:rPr>
    </w:lvl>
    <w:lvl w:ilvl="5" w:tplc="2766F952">
      <w:numFmt w:val="bullet"/>
      <w:lvlText w:val="•"/>
      <w:lvlJc w:val="left"/>
      <w:pPr>
        <w:ind w:left="7203" w:hanging="221"/>
      </w:pPr>
      <w:rPr>
        <w:rFonts w:hint="default"/>
        <w:lang w:val="pt-PT" w:eastAsia="en-US" w:bidi="ar-SA"/>
      </w:rPr>
    </w:lvl>
    <w:lvl w:ilvl="6" w:tplc="40021C02">
      <w:numFmt w:val="bullet"/>
      <w:lvlText w:val="•"/>
      <w:lvlJc w:val="left"/>
      <w:pPr>
        <w:ind w:left="7787" w:hanging="221"/>
      </w:pPr>
      <w:rPr>
        <w:rFonts w:hint="default"/>
        <w:lang w:val="pt-PT" w:eastAsia="en-US" w:bidi="ar-SA"/>
      </w:rPr>
    </w:lvl>
    <w:lvl w:ilvl="7" w:tplc="D800F6FC">
      <w:numFmt w:val="bullet"/>
      <w:lvlText w:val="•"/>
      <w:lvlJc w:val="left"/>
      <w:pPr>
        <w:ind w:left="8372" w:hanging="221"/>
      </w:pPr>
      <w:rPr>
        <w:rFonts w:hint="default"/>
        <w:lang w:val="pt-PT" w:eastAsia="en-US" w:bidi="ar-SA"/>
      </w:rPr>
    </w:lvl>
    <w:lvl w:ilvl="8" w:tplc="AC42EE40">
      <w:numFmt w:val="bullet"/>
      <w:lvlText w:val="•"/>
      <w:lvlJc w:val="left"/>
      <w:pPr>
        <w:ind w:left="895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25D50DF9"/>
    <w:multiLevelType w:val="hybridMultilevel"/>
    <w:tmpl w:val="905492BA"/>
    <w:lvl w:ilvl="0" w:tplc="68367FE0">
      <w:start w:val="1"/>
      <w:numFmt w:val="decimal"/>
      <w:lvlText w:val="%1."/>
      <w:lvlJc w:val="left"/>
      <w:pPr>
        <w:ind w:left="4272" w:hanging="202"/>
        <w:jc w:val="righ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35E87BF2">
      <w:numFmt w:val="bullet"/>
      <w:lvlText w:val="•"/>
      <w:lvlJc w:val="left"/>
      <w:pPr>
        <w:ind w:left="4864" w:hanging="202"/>
      </w:pPr>
      <w:rPr>
        <w:rFonts w:hint="default"/>
        <w:lang w:val="pt-PT" w:eastAsia="en-US" w:bidi="ar-SA"/>
      </w:rPr>
    </w:lvl>
    <w:lvl w:ilvl="2" w:tplc="799E0C3C">
      <w:numFmt w:val="bullet"/>
      <w:lvlText w:val="•"/>
      <w:lvlJc w:val="left"/>
      <w:pPr>
        <w:ind w:left="5449" w:hanging="202"/>
      </w:pPr>
      <w:rPr>
        <w:rFonts w:hint="default"/>
        <w:lang w:val="pt-PT" w:eastAsia="en-US" w:bidi="ar-SA"/>
      </w:rPr>
    </w:lvl>
    <w:lvl w:ilvl="3" w:tplc="B4BE85A8">
      <w:numFmt w:val="bullet"/>
      <w:lvlText w:val="•"/>
      <w:lvlJc w:val="left"/>
      <w:pPr>
        <w:ind w:left="6033" w:hanging="202"/>
      </w:pPr>
      <w:rPr>
        <w:rFonts w:hint="default"/>
        <w:lang w:val="pt-PT" w:eastAsia="en-US" w:bidi="ar-SA"/>
      </w:rPr>
    </w:lvl>
    <w:lvl w:ilvl="4" w:tplc="09DCA084">
      <w:numFmt w:val="bullet"/>
      <w:lvlText w:val="•"/>
      <w:lvlJc w:val="left"/>
      <w:pPr>
        <w:ind w:left="6618" w:hanging="202"/>
      </w:pPr>
      <w:rPr>
        <w:rFonts w:hint="default"/>
        <w:lang w:val="pt-PT" w:eastAsia="en-US" w:bidi="ar-SA"/>
      </w:rPr>
    </w:lvl>
    <w:lvl w:ilvl="5" w:tplc="60A27B34">
      <w:numFmt w:val="bullet"/>
      <w:lvlText w:val="•"/>
      <w:lvlJc w:val="left"/>
      <w:pPr>
        <w:ind w:left="7203" w:hanging="202"/>
      </w:pPr>
      <w:rPr>
        <w:rFonts w:hint="default"/>
        <w:lang w:val="pt-PT" w:eastAsia="en-US" w:bidi="ar-SA"/>
      </w:rPr>
    </w:lvl>
    <w:lvl w:ilvl="6" w:tplc="197E617A">
      <w:numFmt w:val="bullet"/>
      <w:lvlText w:val="•"/>
      <w:lvlJc w:val="left"/>
      <w:pPr>
        <w:ind w:left="7787" w:hanging="202"/>
      </w:pPr>
      <w:rPr>
        <w:rFonts w:hint="default"/>
        <w:lang w:val="pt-PT" w:eastAsia="en-US" w:bidi="ar-SA"/>
      </w:rPr>
    </w:lvl>
    <w:lvl w:ilvl="7" w:tplc="F22C2B84">
      <w:numFmt w:val="bullet"/>
      <w:lvlText w:val="•"/>
      <w:lvlJc w:val="left"/>
      <w:pPr>
        <w:ind w:left="8372" w:hanging="202"/>
      </w:pPr>
      <w:rPr>
        <w:rFonts w:hint="default"/>
        <w:lang w:val="pt-PT" w:eastAsia="en-US" w:bidi="ar-SA"/>
      </w:rPr>
    </w:lvl>
    <w:lvl w:ilvl="8" w:tplc="F2AAEEBC">
      <w:numFmt w:val="bullet"/>
      <w:lvlText w:val="•"/>
      <w:lvlJc w:val="left"/>
      <w:pPr>
        <w:ind w:left="8957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3D2"/>
    <w:multiLevelType w:val="hybridMultilevel"/>
    <w:tmpl w:val="767847D4"/>
    <w:lvl w:ilvl="0" w:tplc="9C308DDA">
      <w:start w:val="1"/>
      <w:numFmt w:val="decimal"/>
      <w:lvlText w:val="%1."/>
      <w:lvlJc w:val="left"/>
      <w:pPr>
        <w:ind w:left="927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E236FA"/>
    <w:multiLevelType w:val="hybridMultilevel"/>
    <w:tmpl w:val="CB5C28A0"/>
    <w:lvl w:ilvl="0" w:tplc="E95C0F2C">
      <w:start w:val="1"/>
      <w:numFmt w:val="lowerLetter"/>
      <w:lvlText w:val="%1)"/>
      <w:lvlJc w:val="left"/>
      <w:pPr>
        <w:ind w:left="4484" w:hanging="212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t-PT" w:eastAsia="en-US" w:bidi="ar-SA"/>
      </w:rPr>
    </w:lvl>
    <w:lvl w:ilvl="1" w:tplc="4ED4A6C6">
      <w:numFmt w:val="bullet"/>
      <w:lvlText w:val="•"/>
      <w:lvlJc w:val="left"/>
      <w:pPr>
        <w:ind w:left="5044" w:hanging="212"/>
      </w:pPr>
      <w:rPr>
        <w:rFonts w:hint="default"/>
        <w:lang w:val="pt-PT" w:eastAsia="en-US" w:bidi="ar-SA"/>
      </w:rPr>
    </w:lvl>
    <w:lvl w:ilvl="2" w:tplc="890874D2">
      <w:numFmt w:val="bullet"/>
      <w:lvlText w:val="•"/>
      <w:lvlJc w:val="left"/>
      <w:pPr>
        <w:ind w:left="5609" w:hanging="212"/>
      </w:pPr>
      <w:rPr>
        <w:rFonts w:hint="default"/>
        <w:lang w:val="pt-PT" w:eastAsia="en-US" w:bidi="ar-SA"/>
      </w:rPr>
    </w:lvl>
    <w:lvl w:ilvl="3" w:tplc="0A7CAADA">
      <w:numFmt w:val="bullet"/>
      <w:lvlText w:val="•"/>
      <w:lvlJc w:val="left"/>
      <w:pPr>
        <w:ind w:left="6173" w:hanging="212"/>
      </w:pPr>
      <w:rPr>
        <w:rFonts w:hint="default"/>
        <w:lang w:val="pt-PT" w:eastAsia="en-US" w:bidi="ar-SA"/>
      </w:rPr>
    </w:lvl>
    <w:lvl w:ilvl="4" w:tplc="1C623FF4">
      <w:numFmt w:val="bullet"/>
      <w:lvlText w:val="•"/>
      <w:lvlJc w:val="left"/>
      <w:pPr>
        <w:ind w:left="6738" w:hanging="212"/>
      </w:pPr>
      <w:rPr>
        <w:rFonts w:hint="default"/>
        <w:lang w:val="pt-PT" w:eastAsia="en-US" w:bidi="ar-SA"/>
      </w:rPr>
    </w:lvl>
    <w:lvl w:ilvl="5" w:tplc="FFBC5E78">
      <w:numFmt w:val="bullet"/>
      <w:lvlText w:val="•"/>
      <w:lvlJc w:val="left"/>
      <w:pPr>
        <w:ind w:left="7303" w:hanging="212"/>
      </w:pPr>
      <w:rPr>
        <w:rFonts w:hint="default"/>
        <w:lang w:val="pt-PT" w:eastAsia="en-US" w:bidi="ar-SA"/>
      </w:rPr>
    </w:lvl>
    <w:lvl w:ilvl="6" w:tplc="AA724B38">
      <w:numFmt w:val="bullet"/>
      <w:lvlText w:val="•"/>
      <w:lvlJc w:val="left"/>
      <w:pPr>
        <w:ind w:left="7867" w:hanging="212"/>
      </w:pPr>
      <w:rPr>
        <w:rFonts w:hint="default"/>
        <w:lang w:val="pt-PT" w:eastAsia="en-US" w:bidi="ar-SA"/>
      </w:rPr>
    </w:lvl>
    <w:lvl w:ilvl="7" w:tplc="FE72042A">
      <w:numFmt w:val="bullet"/>
      <w:lvlText w:val="•"/>
      <w:lvlJc w:val="left"/>
      <w:pPr>
        <w:ind w:left="8432" w:hanging="212"/>
      </w:pPr>
      <w:rPr>
        <w:rFonts w:hint="default"/>
        <w:lang w:val="pt-PT" w:eastAsia="en-US" w:bidi="ar-SA"/>
      </w:rPr>
    </w:lvl>
    <w:lvl w:ilvl="8" w:tplc="196A3C9C">
      <w:numFmt w:val="bullet"/>
      <w:lvlText w:val="•"/>
      <w:lvlJc w:val="left"/>
      <w:pPr>
        <w:ind w:left="8997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6B560A29"/>
    <w:multiLevelType w:val="hybridMultilevel"/>
    <w:tmpl w:val="63E6DDD2"/>
    <w:lvl w:ilvl="0" w:tplc="5768B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5325">
    <w:abstractNumId w:val="2"/>
  </w:num>
  <w:num w:numId="2" w16cid:durableId="1422067827">
    <w:abstractNumId w:val="0"/>
  </w:num>
  <w:num w:numId="3" w16cid:durableId="716585643">
    <w:abstractNumId w:val="6"/>
  </w:num>
  <w:num w:numId="4" w16cid:durableId="2126538453">
    <w:abstractNumId w:val="3"/>
  </w:num>
  <w:num w:numId="5" w16cid:durableId="1243298570">
    <w:abstractNumId w:val="1"/>
  </w:num>
  <w:num w:numId="6" w16cid:durableId="776100279">
    <w:abstractNumId w:val="4"/>
  </w:num>
  <w:num w:numId="7" w16cid:durableId="2070810809">
    <w:abstractNumId w:val="5"/>
  </w:num>
  <w:num w:numId="8" w16cid:durableId="810178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70DBC"/>
    <w:rsid w:val="000B3187"/>
    <w:rsid w:val="00122561"/>
    <w:rsid w:val="00126F01"/>
    <w:rsid w:val="00146AA2"/>
    <w:rsid w:val="001A5283"/>
    <w:rsid w:val="0020618A"/>
    <w:rsid w:val="00221F6F"/>
    <w:rsid w:val="00222D89"/>
    <w:rsid w:val="002633C8"/>
    <w:rsid w:val="00263732"/>
    <w:rsid w:val="002A4C8A"/>
    <w:rsid w:val="002D10C0"/>
    <w:rsid w:val="00305B79"/>
    <w:rsid w:val="003324B8"/>
    <w:rsid w:val="00340D0E"/>
    <w:rsid w:val="003467DE"/>
    <w:rsid w:val="00362157"/>
    <w:rsid w:val="003A2E68"/>
    <w:rsid w:val="00441A32"/>
    <w:rsid w:val="004B1367"/>
    <w:rsid w:val="004D0056"/>
    <w:rsid w:val="004D7647"/>
    <w:rsid w:val="004E2C60"/>
    <w:rsid w:val="004F7EB8"/>
    <w:rsid w:val="005B3D41"/>
    <w:rsid w:val="005F448B"/>
    <w:rsid w:val="006027FE"/>
    <w:rsid w:val="00616609"/>
    <w:rsid w:val="00616B60"/>
    <w:rsid w:val="00696A06"/>
    <w:rsid w:val="006A2C38"/>
    <w:rsid w:val="006C251E"/>
    <w:rsid w:val="006F3B6C"/>
    <w:rsid w:val="007113E1"/>
    <w:rsid w:val="00763551"/>
    <w:rsid w:val="0078319A"/>
    <w:rsid w:val="00797BA7"/>
    <w:rsid w:val="007F643C"/>
    <w:rsid w:val="00832C53"/>
    <w:rsid w:val="008476EC"/>
    <w:rsid w:val="00874647"/>
    <w:rsid w:val="00880E2B"/>
    <w:rsid w:val="008C569D"/>
    <w:rsid w:val="008D39E7"/>
    <w:rsid w:val="00956315"/>
    <w:rsid w:val="00977E89"/>
    <w:rsid w:val="009A71B3"/>
    <w:rsid w:val="009D750E"/>
    <w:rsid w:val="009F0817"/>
    <w:rsid w:val="009F55DC"/>
    <w:rsid w:val="009F6A17"/>
    <w:rsid w:val="00A441A2"/>
    <w:rsid w:val="00AA088C"/>
    <w:rsid w:val="00B4041A"/>
    <w:rsid w:val="00BB1121"/>
    <w:rsid w:val="00C00CC5"/>
    <w:rsid w:val="00C411CC"/>
    <w:rsid w:val="00CD5328"/>
    <w:rsid w:val="00CD65A2"/>
    <w:rsid w:val="00CF39E8"/>
    <w:rsid w:val="00D01E7F"/>
    <w:rsid w:val="00D20287"/>
    <w:rsid w:val="00D24092"/>
    <w:rsid w:val="00D708CF"/>
    <w:rsid w:val="00D849E6"/>
    <w:rsid w:val="00DB7CBD"/>
    <w:rsid w:val="00E2311A"/>
    <w:rsid w:val="00E503EE"/>
    <w:rsid w:val="00EA66D7"/>
    <w:rsid w:val="00ED522D"/>
    <w:rsid w:val="00F15657"/>
    <w:rsid w:val="00F45187"/>
    <w:rsid w:val="00F51995"/>
    <w:rsid w:val="00F94EB2"/>
    <w:rsid w:val="00FC417D"/>
    <w:rsid w:val="00FD5C7B"/>
    <w:rsid w:val="00FE231C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339D4CD4-9F0F-43D3-A42E-FFEF33DE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67"/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7BA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97BA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F6A1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1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41A2"/>
    <w:rPr>
      <w:rFonts w:ascii="Cambria" w:hAnsi="Cambria"/>
      <w:sz w:val="24"/>
    </w:rPr>
  </w:style>
  <w:style w:type="table" w:styleId="Tabelacomgrade">
    <w:name w:val="Table Grid"/>
    <w:basedOn w:val="Tabelanormal"/>
    <w:uiPriority w:val="59"/>
    <w:rsid w:val="005B3D4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bsec@sejusc.am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sejusc.am.gov.br" TargetMode="External"/><Relationship Id="rId4" Type="http://schemas.openxmlformats.org/officeDocument/2006/relationships/hyperlink" Target="http://www.sejusc.am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1519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Sarah Rachel Mamed de Miranda Correa</cp:lastModifiedBy>
  <cp:revision>3</cp:revision>
  <cp:lastPrinted>2023-05-10T17:18:00Z</cp:lastPrinted>
  <dcterms:created xsi:type="dcterms:W3CDTF">2023-05-11T19:09:00Z</dcterms:created>
  <dcterms:modified xsi:type="dcterms:W3CDTF">2023-05-11T19:55:00Z</dcterms:modified>
</cp:coreProperties>
</file>